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A56F2A" w:rsidP="009B0D0C">
      <w:pPr>
        <w:pStyle w:val="lvl1Heading"/>
        <w:spacing w:before="120"/>
        <w:ind w:left="357" w:hanging="357"/>
      </w:pPr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3E7766">
        <w:t xml:space="preserve">ase </w:t>
      </w:r>
      <w:r w:rsidR="003E7766" w:rsidRPr="00C742A0">
        <w:t>study</w:t>
      </w:r>
      <w:r w:rsidR="003E7766">
        <w:t xml:space="preserve">: </w:t>
      </w:r>
      <w:r w:rsidR="00405B9B">
        <w:t>Romania</w:t>
      </w:r>
    </w:p>
    <w:p w:rsidR="00A56F2A" w:rsidRDefault="008220A7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22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9F5B5E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459"/>
        <w:gridCol w:w="1809"/>
        <w:gridCol w:w="10"/>
        <w:gridCol w:w="1819"/>
        <w:gridCol w:w="18"/>
        <w:gridCol w:w="1801"/>
      </w:tblGrid>
      <w:tr w:rsidR="00802D7C" w:rsidRPr="00E6181A" w:rsidTr="00802D7C">
        <w:trPr>
          <w:trHeight w:val="255"/>
        </w:trPr>
        <w:tc>
          <w:tcPr>
            <w:tcW w:w="2248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02D7C" w:rsidRPr="00E6181A" w:rsidRDefault="00802D7C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Basic info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02D7C" w:rsidRPr="00802D7C" w:rsidRDefault="00E36941" w:rsidP="00802D7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Vest</w:t>
            </w:r>
          </w:p>
        </w:tc>
        <w:tc>
          <w:tcPr>
            <w:tcW w:w="917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02D7C" w:rsidRPr="00802D7C" w:rsidRDefault="00E36941" w:rsidP="00802D7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02D7C" w:rsidRPr="00E6181A" w:rsidRDefault="00802D7C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Population [2008]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</w:tcBorders>
            <w:noWrap/>
          </w:tcPr>
          <w:p w:rsidR="00E265F8" w:rsidRPr="00E6181A" w:rsidRDefault="00FB11C2" w:rsidP="00C201C3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1926.7</w:t>
            </w:r>
          </w:p>
        </w:tc>
        <w:tc>
          <w:tcPr>
            <w:tcW w:w="917" w:type="pct"/>
            <w:tcBorders>
              <w:top w:val="single" w:sz="18" w:space="0" w:color="00B050"/>
            </w:tcBorders>
            <w:noWrap/>
          </w:tcPr>
          <w:p w:rsidR="00E265F8" w:rsidRPr="00E6181A" w:rsidRDefault="00FB11C2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21528.6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</w:tcBorders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GDP [2008]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FB11C2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14128</w:t>
            </w:r>
          </w:p>
        </w:tc>
        <w:tc>
          <w:tcPr>
            <w:tcW w:w="917" w:type="pct"/>
            <w:noWrap/>
          </w:tcPr>
          <w:p w:rsidR="00E265F8" w:rsidRPr="00E6181A" w:rsidRDefault="00FB11C2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142396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[2014]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FB11C2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1817.9</w:t>
            </w:r>
          </w:p>
        </w:tc>
        <w:tc>
          <w:tcPr>
            <w:tcW w:w="917" w:type="pct"/>
            <w:noWrap/>
          </w:tcPr>
          <w:p w:rsidR="00E265F8" w:rsidRPr="00E6181A" w:rsidRDefault="00FB11C2" w:rsidP="00C201C3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19947.3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GDP [2014]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FB11C2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14285</w:t>
            </w:r>
          </w:p>
        </w:tc>
        <w:tc>
          <w:tcPr>
            <w:tcW w:w="917" w:type="pct"/>
            <w:noWrap/>
          </w:tcPr>
          <w:p w:rsidR="00E265F8" w:rsidRPr="00E6181A" w:rsidRDefault="00FB11C2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150230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E36941">
        <w:trPr>
          <w:trHeight w:val="255"/>
        </w:trPr>
        <w:tc>
          <w:tcPr>
            <w:tcW w:w="2248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E265F8" w:rsidRPr="00E6181A" w:rsidRDefault="00E265F8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Total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allocation</w:t>
            </w:r>
            <w:proofErr w:type="spellEnd"/>
          </w:p>
        </w:tc>
        <w:tc>
          <w:tcPr>
            <w:tcW w:w="912" w:type="pct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36941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36941" w:rsidRPr="00E6181A" w:rsidRDefault="00E36941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</w:t>
            </w:r>
            <w:r w:rsidR="00FB11C2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-2006</w:t>
            </w:r>
          </w:p>
        </w:tc>
        <w:tc>
          <w:tcPr>
            <w:tcW w:w="917" w:type="pct"/>
            <w:gridSpan w:val="2"/>
            <w:noWrap/>
          </w:tcPr>
          <w:p w:rsidR="00E36941" w:rsidRPr="00E6181A" w:rsidRDefault="00E36941" w:rsidP="007E433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7" w:type="pct"/>
            <w:noWrap/>
          </w:tcPr>
          <w:p w:rsidR="00E36941" w:rsidRPr="00E6181A" w:rsidRDefault="00E36941" w:rsidP="007E433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7" w:type="pct"/>
            <w:gridSpan w:val="2"/>
            <w:noWrap/>
            <w:hideMark/>
          </w:tcPr>
          <w:p w:rsidR="00E36941" w:rsidRPr="00E6181A" w:rsidRDefault="00E36941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802D7C">
        <w:trPr>
          <w:trHeight w:val="201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2007-2013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FB11C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2774.1</w:t>
            </w:r>
          </w:p>
        </w:tc>
        <w:tc>
          <w:tcPr>
            <w:tcW w:w="917" w:type="pct"/>
            <w:noWrap/>
          </w:tcPr>
          <w:p w:rsidR="00E265F8" w:rsidRPr="00E6181A" w:rsidRDefault="00FB11C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18197.9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36941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36941" w:rsidRPr="00E6181A" w:rsidRDefault="00E36941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2007-2013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2000-2006]</w:t>
            </w:r>
          </w:p>
        </w:tc>
        <w:tc>
          <w:tcPr>
            <w:tcW w:w="917" w:type="pct"/>
            <w:gridSpan w:val="2"/>
            <w:noWrap/>
          </w:tcPr>
          <w:p w:rsidR="00E36941" w:rsidRPr="00E6181A" w:rsidRDefault="00E36941" w:rsidP="007E433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7" w:type="pct"/>
            <w:noWrap/>
          </w:tcPr>
          <w:p w:rsidR="00E36941" w:rsidRPr="00E6181A" w:rsidRDefault="00E36941" w:rsidP="007E433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7" w:type="pct"/>
            <w:gridSpan w:val="2"/>
            <w:noWrap/>
            <w:hideMark/>
          </w:tcPr>
          <w:p w:rsidR="00E36941" w:rsidRPr="00E6181A" w:rsidRDefault="00E36941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E265F8" w:rsidRPr="00E6181A" w:rsidTr="00E36941">
        <w:trPr>
          <w:trHeight w:val="255"/>
        </w:trPr>
        <w:tc>
          <w:tcPr>
            <w:tcW w:w="2248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E265F8" w:rsidRPr="00E6181A" w:rsidRDefault="00E265F8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rates</w:t>
            </w:r>
            <w:proofErr w:type="spellEnd"/>
            <w:r w:rsidR="008220A7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r w:rsidR="008220A7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ERDF+CF</w:t>
            </w:r>
          </w:p>
        </w:tc>
        <w:tc>
          <w:tcPr>
            <w:tcW w:w="912" w:type="pct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2000-2006</w:t>
            </w:r>
            <w:r w:rsidR="008220A7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="008220A7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final</w:t>
            </w:r>
            <w:proofErr w:type="spellEnd"/>
            <w:r w:rsidR="008220A7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E36941" w:rsidP="00E07ADD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7" w:type="pct"/>
            <w:noWrap/>
          </w:tcPr>
          <w:p w:rsidR="00E265F8" w:rsidRPr="00E6181A" w:rsidRDefault="00E36941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E25577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2014]</w:t>
            </w:r>
          </w:p>
        </w:tc>
        <w:tc>
          <w:tcPr>
            <w:tcW w:w="917" w:type="pct"/>
            <w:gridSpan w:val="2"/>
            <w:tcBorders>
              <w:bottom w:val="single" w:sz="18" w:space="0" w:color="00B050"/>
            </w:tcBorders>
            <w:noWrap/>
          </w:tcPr>
          <w:p w:rsidR="00E265F8" w:rsidRPr="00E6181A" w:rsidRDefault="00864053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917" w:type="pct"/>
            <w:tcBorders>
              <w:bottom w:val="single" w:sz="18" w:space="0" w:color="00B050"/>
            </w:tcBorders>
            <w:noWrap/>
          </w:tcPr>
          <w:p w:rsidR="00E265F8" w:rsidRPr="00E6181A" w:rsidRDefault="00864053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917" w:type="pct"/>
            <w:gridSpan w:val="2"/>
            <w:tcBorders>
              <w:bottom w:val="single" w:sz="18" w:space="0" w:color="00B050"/>
            </w:tcBorders>
            <w:noWrap/>
            <w:hideMark/>
          </w:tcPr>
          <w:p w:rsidR="00E265F8" w:rsidRPr="00E6181A" w:rsidRDefault="00E265F8" w:rsidP="00E25577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</w:tbl>
    <w:p w:rsidR="00E1456B" w:rsidRDefault="00E1456B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6F57BC" w:rsidRDefault="00F750CA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total allocation for </w:t>
      </w:r>
      <w:r w:rsidR="00FB11C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Vest constituted 15.2% of the national allocation. In per capita terms, Vest received significantly more funds than the country average, i.e. 1.</w:t>
      </w:r>
      <w:r w:rsidR="0031249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4</w:t>
      </w:r>
      <w:r w:rsidR="00FB11C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proofErr w:type="spellStart"/>
      <w:r w:rsidR="00FB11C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thous</w:t>
      </w:r>
      <w:proofErr w:type="spellEnd"/>
      <w:r w:rsidR="00FB11C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EUR as compared to 0.9 </w:t>
      </w:r>
      <w:proofErr w:type="spellStart"/>
      <w:r w:rsidR="00FB11C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thous</w:t>
      </w:r>
      <w:proofErr w:type="spellEnd"/>
      <w:r w:rsidR="00FB11C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EUR. The 2014 absorption rate was low, </w:t>
      </w:r>
      <w:r w:rsidR="0031249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nonetheless</w:t>
      </w:r>
      <w:r w:rsidR="00FB11C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Vest </w:t>
      </w:r>
      <w:r w:rsidR="0086405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was </w:t>
      </w:r>
      <w:r w:rsidR="0031249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4 pp. above the national average.</w:t>
      </w:r>
    </w:p>
    <w:p w:rsidR="007E63BC" w:rsidRPr="009B0D0C" w:rsidRDefault="007E63BC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748"/>
        <w:gridCol w:w="1700"/>
        <w:gridCol w:w="1468"/>
      </w:tblGrid>
      <w:tr w:rsidR="00E36941" w:rsidRPr="00F750CA" w:rsidTr="00E36941">
        <w:trPr>
          <w:trHeight w:val="255"/>
        </w:trPr>
        <w:tc>
          <w:tcPr>
            <w:tcW w:w="340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E36941" w:rsidRPr="009B0D0C" w:rsidRDefault="00E36941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>Thematic structure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[NUTS-2, 2007-13, ERDF+CF]</w:t>
            </w:r>
          </w:p>
        </w:tc>
        <w:tc>
          <w:tcPr>
            <w:tcW w:w="857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E36941" w:rsidRPr="00802D7C" w:rsidRDefault="00E36941" w:rsidP="007E4331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Vest</w:t>
            </w:r>
          </w:p>
        </w:tc>
        <w:tc>
          <w:tcPr>
            <w:tcW w:w="740" w:type="pct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  <w:hideMark/>
          </w:tcPr>
          <w:p w:rsidR="00E36941" w:rsidRPr="00802D7C" w:rsidRDefault="00E36941" w:rsidP="007E4331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Romania</w:t>
            </w:r>
          </w:p>
        </w:tc>
      </w:tr>
      <w:tr w:rsidR="00E265F8" w:rsidRPr="00F750CA" w:rsidTr="00E36941">
        <w:trPr>
          <w:trHeight w:val="255"/>
        </w:trPr>
        <w:tc>
          <w:tcPr>
            <w:tcW w:w="3403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E265F8" w:rsidRPr="00E265F8" w:rsidRDefault="007E63BC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  <w:t>% of allocation</w:t>
            </w:r>
            <w:r w:rsidR="00E36941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  <w:t>*</w:t>
            </w:r>
          </w:p>
        </w:tc>
        <w:tc>
          <w:tcPr>
            <w:tcW w:w="857" w:type="pct"/>
            <w:tcBorders>
              <w:top w:val="single" w:sz="18" w:space="0" w:color="FFC000"/>
              <w:left w:val="nil"/>
              <w:right w:val="nil"/>
            </w:tcBorders>
            <w:shd w:val="clear" w:color="auto" w:fill="FDE9D9" w:themeFill="accent6" w:themeFillTint="33"/>
          </w:tcPr>
          <w:p w:rsidR="00E265F8" w:rsidRPr="00E265F8" w:rsidRDefault="00E265F8" w:rsidP="00EE3B3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E265F8" w:rsidRPr="00E265F8" w:rsidRDefault="00E265F8" w:rsidP="00EE3B3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2491" w:rsidRPr="00E6181A" w:rsidTr="00E36941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312491" w:rsidRPr="00E6181A" w:rsidRDefault="0031249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857" w:type="pct"/>
            <w:noWrap/>
          </w:tcPr>
          <w:p w:rsidR="00312491" w:rsidRPr="00E6181A" w:rsidRDefault="00312491" w:rsidP="000354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740" w:type="pct"/>
            <w:tcBorders>
              <w:right w:val="single" w:sz="18" w:space="0" w:color="FFC000"/>
            </w:tcBorders>
            <w:noWrap/>
          </w:tcPr>
          <w:p w:rsidR="00312491" w:rsidRDefault="00312491" w:rsidP="00801C4B">
            <w:pPr>
              <w:jc w:val="right"/>
            </w:pPr>
            <w:r>
              <w:t>16.3%</w:t>
            </w:r>
          </w:p>
        </w:tc>
      </w:tr>
      <w:tr w:rsidR="00312491" w:rsidRPr="00E6181A" w:rsidTr="00E36941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312491" w:rsidRPr="00E6181A" w:rsidRDefault="0031249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857" w:type="pct"/>
            <w:noWrap/>
          </w:tcPr>
          <w:p w:rsidR="00312491" w:rsidRPr="00E6181A" w:rsidRDefault="00312491" w:rsidP="000354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86.5%</w:t>
            </w:r>
          </w:p>
        </w:tc>
        <w:tc>
          <w:tcPr>
            <w:tcW w:w="740" w:type="pct"/>
            <w:tcBorders>
              <w:right w:val="single" w:sz="18" w:space="0" w:color="FFC000"/>
            </w:tcBorders>
            <w:noWrap/>
          </w:tcPr>
          <w:p w:rsidR="00312491" w:rsidRDefault="00312491" w:rsidP="00801C4B">
            <w:pPr>
              <w:jc w:val="right"/>
            </w:pPr>
            <w:r>
              <w:t>71.4%</w:t>
            </w:r>
          </w:p>
        </w:tc>
      </w:tr>
      <w:tr w:rsidR="00312491" w:rsidRPr="00E6181A" w:rsidTr="00E36941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312491" w:rsidRPr="00E6181A" w:rsidRDefault="0031249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857" w:type="pct"/>
            <w:noWrap/>
          </w:tcPr>
          <w:p w:rsidR="00312491" w:rsidRPr="00E6181A" w:rsidRDefault="00312491" w:rsidP="000354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740" w:type="pct"/>
            <w:tcBorders>
              <w:right w:val="single" w:sz="18" w:space="0" w:color="FFC000"/>
            </w:tcBorders>
            <w:noWrap/>
          </w:tcPr>
          <w:p w:rsidR="00312491" w:rsidRPr="00E6181A" w:rsidRDefault="00312491" w:rsidP="00801C4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9.9%</w:t>
            </w:r>
          </w:p>
        </w:tc>
      </w:tr>
      <w:tr w:rsidR="00312491" w:rsidRPr="00E6181A" w:rsidTr="00E36941">
        <w:trPr>
          <w:trHeight w:val="255"/>
        </w:trPr>
        <w:tc>
          <w:tcPr>
            <w:tcW w:w="3403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312491" w:rsidRPr="00E6181A" w:rsidRDefault="0031249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2014]</w:t>
            </w:r>
          </w:p>
        </w:tc>
        <w:tc>
          <w:tcPr>
            <w:tcW w:w="857" w:type="pct"/>
            <w:tcBorders>
              <w:top w:val="single" w:sz="18" w:space="0" w:color="FFC000"/>
              <w:left w:val="nil"/>
              <w:right w:val="nil"/>
            </w:tcBorders>
            <w:shd w:val="clear" w:color="auto" w:fill="FDE9D9" w:themeFill="accent6" w:themeFillTint="33"/>
          </w:tcPr>
          <w:p w:rsidR="00312491" w:rsidRPr="00E6181A" w:rsidRDefault="00312491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312491" w:rsidRPr="00E6181A" w:rsidRDefault="00312491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</w:tr>
      <w:tr w:rsidR="00312491" w:rsidRPr="00E6181A" w:rsidTr="00E36941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312491" w:rsidRPr="00E6181A" w:rsidRDefault="0031249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857" w:type="pct"/>
            <w:noWrap/>
          </w:tcPr>
          <w:p w:rsidR="00312491" w:rsidRPr="00E6181A" w:rsidRDefault="00312491" w:rsidP="0038662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52.5%</w:t>
            </w:r>
          </w:p>
        </w:tc>
        <w:tc>
          <w:tcPr>
            <w:tcW w:w="740" w:type="pct"/>
            <w:tcBorders>
              <w:right w:val="single" w:sz="18" w:space="0" w:color="FFC000"/>
            </w:tcBorders>
            <w:noWrap/>
          </w:tcPr>
          <w:p w:rsidR="00312491" w:rsidRDefault="00312491" w:rsidP="00801C4B">
            <w:pPr>
              <w:jc w:val="right"/>
            </w:pPr>
            <w:r>
              <w:t>44.5%</w:t>
            </w:r>
          </w:p>
        </w:tc>
      </w:tr>
      <w:tr w:rsidR="00312491" w:rsidRPr="00581C0C" w:rsidTr="00E36941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312491" w:rsidRPr="00E6181A" w:rsidRDefault="0031249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857" w:type="pct"/>
            <w:noWrap/>
          </w:tcPr>
          <w:p w:rsidR="00312491" w:rsidRPr="00581C0C" w:rsidRDefault="00312491" w:rsidP="0038662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44.8%</w:t>
            </w:r>
          </w:p>
        </w:tc>
        <w:tc>
          <w:tcPr>
            <w:tcW w:w="740" w:type="pct"/>
            <w:tcBorders>
              <w:right w:val="single" w:sz="18" w:space="0" w:color="FFC000"/>
            </w:tcBorders>
            <w:noWrap/>
          </w:tcPr>
          <w:p w:rsidR="00312491" w:rsidRDefault="00312491" w:rsidP="00801C4B">
            <w:pPr>
              <w:jc w:val="right"/>
            </w:pPr>
            <w:r>
              <w:t>39.3%</w:t>
            </w:r>
          </w:p>
        </w:tc>
      </w:tr>
      <w:tr w:rsidR="00312491" w:rsidRPr="00CB7959" w:rsidTr="00E36941">
        <w:trPr>
          <w:trHeight w:val="255"/>
        </w:trPr>
        <w:tc>
          <w:tcPr>
            <w:tcW w:w="3403" w:type="pct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312491" w:rsidRPr="00E6181A" w:rsidRDefault="0031249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857" w:type="pct"/>
            <w:tcBorders>
              <w:bottom w:val="single" w:sz="18" w:space="0" w:color="FFC000"/>
            </w:tcBorders>
            <w:noWrap/>
          </w:tcPr>
          <w:p w:rsidR="00312491" w:rsidRPr="00581C0C" w:rsidRDefault="00312491" w:rsidP="0038662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38.3%</w:t>
            </w:r>
          </w:p>
        </w:tc>
        <w:tc>
          <w:tcPr>
            <w:tcW w:w="740" w:type="pct"/>
            <w:tcBorders>
              <w:bottom w:val="single" w:sz="18" w:space="0" w:color="FFC000"/>
              <w:right w:val="single" w:sz="18" w:space="0" w:color="FFC000"/>
            </w:tcBorders>
            <w:noWrap/>
          </w:tcPr>
          <w:p w:rsidR="00312491" w:rsidRDefault="00312491" w:rsidP="00801C4B">
            <w:pPr>
              <w:jc w:val="right"/>
            </w:pPr>
            <w:r>
              <w:t>38.8%</w:t>
            </w:r>
          </w:p>
        </w:tc>
      </w:tr>
    </w:tbl>
    <w:p w:rsidR="00EA6081" w:rsidRPr="003864D3" w:rsidRDefault="00EA6081" w:rsidP="00EA6081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t xml:space="preserve">* % of allocation does not add to 1, because the “technical assistance” is not included in any of the categories. </w:t>
      </w:r>
    </w:p>
    <w:p w:rsidR="003C750D" w:rsidRPr="009B0D0C" w:rsidRDefault="00C742A0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The t</w:t>
      </w:r>
      <w:r w:rsidR="00F85BAD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hematic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tructure of allocation </w:t>
      </w:r>
      <w:r w:rsidR="00FB11C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in both cases is focused predominantly on the Category B, representing mainly investments in basic infrastructure. </w:t>
      </w:r>
      <w:r w:rsidR="00D15CE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However, the allocations in Vest are </w:t>
      </w:r>
      <w:r w:rsidR="0031249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more</w:t>
      </w:r>
      <w:r w:rsidR="00D15CE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D15CE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lastRenderedPageBreak/>
        <w:t xml:space="preserve">concentrated than the national average, with the share of funds dedicated to both Category A and Category C approximately </w:t>
      </w:r>
      <w:r w:rsidR="0031249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two times smaller</w:t>
      </w:r>
      <w:r w:rsidR="00D15CE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31249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than </w:t>
      </w:r>
      <w:r w:rsidR="00D15CE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national level. </w:t>
      </w:r>
      <w:r w:rsidR="00005CB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absorption rates broken down by themes show </w:t>
      </w:r>
      <w:r w:rsidR="00D15CE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a similar pattern both in Vest and in Romania as a whole. The Category A tends to perform best, followed by the Category B, and then C. The absorption rates noted in Vest are </w:t>
      </w:r>
      <w:r w:rsidR="0031249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higher</w:t>
      </w:r>
      <w:r w:rsidR="00D15CE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than the national average by 6-8 pp., with exception of the Category C. </w:t>
      </w:r>
    </w:p>
    <w:tbl>
      <w:tblPr>
        <w:tblStyle w:val="Tabela-Siatka"/>
        <w:tblW w:w="4982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74"/>
        <w:gridCol w:w="41"/>
        <w:gridCol w:w="1575"/>
        <w:gridCol w:w="1522"/>
        <w:gridCol w:w="22"/>
        <w:gridCol w:w="1446"/>
      </w:tblGrid>
      <w:tr w:rsidR="00E36941" w:rsidRPr="00E6181A" w:rsidTr="00D15CE8">
        <w:trPr>
          <w:trHeight w:val="255"/>
        </w:trPr>
        <w:tc>
          <w:tcPr>
            <w:tcW w:w="2669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36941" w:rsidRPr="00837A1D" w:rsidRDefault="00E36941" w:rsidP="004835EF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</w:pPr>
            <w:r w:rsidRPr="00837A1D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Regional OP </w:t>
            </w:r>
            <w:r w:rsidRPr="00837A1D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  <w:t>[ERDF]</w:t>
            </w:r>
          </w:p>
        </w:tc>
        <w:tc>
          <w:tcPr>
            <w:tcW w:w="818" w:type="pct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36941" w:rsidRPr="00802D7C" w:rsidRDefault="00E36941" w:rsidP="007E4331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Vest</w:t>
            </w:r>
          </w:p>
        </w:tc>
        <w:tc>
          <w:tcPr>
            <w:tcW w:w="770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36941" w:rsidRPr="00802D7C" w:rsidRDefault="00E36941" w:rsidP="007E4331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743" w:type="pct"/>
            <w:gridSpan w:val="2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36941" w:rsidRPr="00E6181A" w:rsidRDefault="00E36941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Unit</w:t>
            </w:r>
          </w:p>
        </w:tc>
      </w:tr>
      <w:tr w:rsidR="005A20EB" w:rsidRPr="00E6181A" w:rsidTr="00D15CE8">
        <w:trPr>
          <w:trHeight w:val="255"/>
        </w:trPr>
        <w:tc>
          <w:tcPr>
            <w:tcW w:w="2690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5A20EB" w:rsidRPr="00E6181A" w:rsidRDefault="005A20EB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Allocations</w:t>
            </w:r>
            <w:proofErr w:type="spellEnd"/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Regional</w:t>
            </w:r>
            <w:proofErr w:type="spellEnd"/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OPs</w:t>
            </w:r>
            <w:proofErr w:type="spellEnd"/>
          </w:p>
        </w:tc>
        <w:tc>
          <w:tcPr>
            <w:tcW w:w="797" w:type="pct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5A20EB" w:rsidRPr="00E6181A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5A20EB" w:rsidRPr="00E6181A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5A20EB" w:rsidRPr="00E6181A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</w:tr>
      <w:tr w:rsidR="002466DC" w:rsidRPr="00E6181A" w:rsidTr="00D15CE8">
        <w:trPr>
          <w:trHeight w:val="255"/>
        </w:trPr>
        <w:tc>
          <w:tcPr>
            <w:tcW w:w="2669" w:type="pct"/>
            <w:tcBorders>
              <w:left w:val="single" w:sz="18" w:space="0" w:color="0070C0"/>
            </w:tcBorders>
            <w:noWrap/>
            <w:hideMark/>
          </w:tcPr>
          <w:p w:rsidR="002466DC" w:rsidRPr="00E6181A" w:rsidRDefault="002466DC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</w:t>
            </w:r>
          </w:p>
        </w:tc>
        <w:tc>
          <w:tcPr>
            <w:tcW w:w="818" w:type="pct"/>
            <w:gridSpan w:val="2"/>
            <w:noWrap/>
          </w:tcPr>
          <w:p w:rsidR="002466DC" w:rsidRDefault="002466DC" w:rsidP="00BD0B4B">
            <w:pPr>
              <w:jc w:val="right"/>
            </w:pPr>
            <w:r w:rsidRPr="00976DF4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</w:t>
            </w:r>
            <w:r w:rsidR="00BD0B4B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/a</w:t>
            </w:r>
          </w:p>
        </w:tc>
        <w:tc>
          <w:tcPr>
            <w:tcW w:w="770" w:type="pct"/>
            <w:noWrap/>
          </w:tcPr>
          <w:p w:rsidR="002466DC" w:rsidRPr="00E6181A" w:rsidRDefault="00BD0B4B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2466DC" w:rsidRPr="00E6181A" w:rsidRDefault="002466D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2466DC" w:rsidRPr="00E6181A" w:rsidTr="00D15CE8">
        <w:trPr>
          <w:trHeight w:val="255"/>
        </w:trPr>
        <w:tc>
          <w:tcPr>
            <w:tcW w:w="2669" w:type="pct"/>
            <w:tcBorders>
              <w:left w:val="single" w:sz="18" w:space="0" w:color="0070C0"/>
            </w:tcBorders>
            <w:noWrap/>
            <w:hideMark/>
          </w:tcPr>
          <w:p w:rsidR="002466DC" w:rsidRPr="00E6181A" w:rsidRDefault="002466DC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2014-2020</w:t>
            </w:r>
          </w:p>
        </w:tc>
        <w:tc>
          <w:tcPr>
            <w:tcW w:w="818" w:type="pct"/>
            <w:gridSpan w:val="2"/>
            <w:noWrap/>
          </w:tcPr>
          <w:p w:rsidR="002466DC" w:rsidRDefault="00BD0B4B" w:rsidP="002466DC">
            <w:pPr>
              <w:jc w:val="right"/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0" w:type="pct"/>
            <w:noWrap/>
          </w:tcPr>
          <w:p w:rsidR="002466DC" w:rsidRPr="00E6181A" w:rsidRDefault="00BD0B4B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2466DC" w:rsidRPr="00E6181A" w:rsidRDefault="002466D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2466DC" w:rsidRPr="00E6181A" w:rsidTr="00D15CE8">
        <w:trPr>
          <w:trHeight w:val="255"/>
        </w:trPr>
        <w:tc>
          <w:tcPr>
            <w:tcW w:w="2669" w:type="pct"/>
            <w:tcBorders>
              <w:left w:val="single" w:sz="18" w:space="0" w:color="0070C0"/>
            </w:tcBorders>
            <w:noWrap/>
            <w:hideMark/>
          </w:tcPr>
          <w:p w:rsidR="002466DC" w:rsidRPr="00E6181A" w:rsidRDefault="002466DC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818" w:type="pct"/>
            <w:gridSpan w:val="2"/>
            <w:noWrap/>
          </w:tcPr>
          <w:p w:rsidR="002466DC" w:rsidRDefault="00BD0B4B" w:rsidP="002466DC">
            <w:pPr>
              <w:jc w:val="right"/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0" w:type="pct"/>
            <w:noWrap/>
          </w:tcPr>
          <w:p w:rsidR="002466DC" w:rsidRPr="00E6181A" w:rsidRDefault="00BD0B4B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2466DC" w:rsidRPr="00E6181A" w:rsidRDefault="002466D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5A20EB" w:rsidRPr="008220A7" w:rsidTr="00D15CE8">
        <w:trPr>
          <w:trHeight w:val="255"/>
        </w:trPr>
        <w:tc>
          <w:tcPr>
            <w:tcW w:w="2690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5A20EB" w:rsidRPr="004A7819" w:rsidRDefault="005A20EB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Reported achievements</w:t>
            </w:r>
            <w:r w:rsidR="00312491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period 2007-2013  [as in 2013]</w:t>
            </w:r>
          </w:p>
        </w:tc>
        <w:tc>
          <w:tcPr>
            <w:tcW w:w="797" w:type="pct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5A20EB" w:rsidRPr="004A7819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5A20EB" w:rsidRPr="004A7819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5A20EB" w:rsidRPr="004A7819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D0B4B" w:rsidRPr="00E6181A" w:rsidTr="00D15CE8">
        <w:trPr>
          <w:trHeight w:val="255"/>
        </w:trPr>
        <w:tc>
          <w:tcPr>
            <w:tcW w:w="2669" w:type="pct"/>
            <w:tcBorders>
              <w:left w:val="single" w:sz="18" w:space="0" w:color="0070C0"/>
            </w:tcBorders>
            <w:noWrap/>
            <w:hideMark/>
          </w:tcPr>
          <w:p w:rsidR="00BD0B4B" w:rsidRPr="00E6181A" w:rsidRDefault="008A294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Aggregated</w:t>
            </w:r>
            <w:proofErr w:type="spellEnd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gross</w:t>
            </w:r>
            <w:proofErr w:type="spellEnd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created</w:t>
            </w:r>
            <w:proofErr w:type="spellEnd"/>
          </w:p>
        </w:tc>
        <w:tc>
          <w:tcPr>
            <w:tcW w:w="818" w:type="pct"/>
            <w:gridSpan w:val="2"/>
            <w:noWrap/>
          </w:tcPr>
          <w:p w:rsidR="00BD0B4B" w:rsidRDefault="00BD0B4B" w:rsidP="007E4331">
            <w:pPr>
              <w:jc w:val="right"/>
            </w:pPr>
            <w:r w:rsidRPr="00976DF4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/a</w:t>
            </w:r>
          </w:p>
        </w:tc>
        <w:tc>
          <w:tcPr>
            <w:tcW w:w="770" w:type="pct"/>
            <w:noWrap/>
          </w:tcPr>
          <w:p w:rsidR="00BD0B4B" w:rsidRPr="00E6181A" w:rsidRDefault="008A294C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35172</w:t>
            </w:r>
          </w:p>
        </w:tc>
        <w:tc>
          <w:tcPr>
            <w:tcW w:w="743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BD0B4B" w:rsidRPr="00E6181A" w:rsidRDefault="00BD0B4B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8A294C" w:rsidRPr="00E6181A" w:rsidTr="00D15CE8">
        <w:trPr>
          <w:trHeight w:val="255"/>
        </w:trPr>
        <w:tc>
          <w:tcPr>
            <w:tcW w:w="2669" w:type="pct"/>
            <w:tcBorders>
              <w:left w:val="single" w:sz="18" w:space="0" w:color="0070C0"/>
            </w:tcBorders>
            <w:noWrap/>
          </w:tcPr>
          <w:p w:rsidR="008A294C" w:rsidRDefault="008A294C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Research jobs created</w:t>
            </w:r>
          </w:p>
        </w:tc>
        <w:tc>
          <w:tcPr>
            <w:tcW w:w="818" w:type="pct"/>
            <w:gridSpan w:val="2"/>
            <w:noWrap/>
          </w:tcPr>
          <w:p w:rsidR="008A294C" w:rsidRDefault="008A294C" w:rsidP="007E433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0" w:type="pct"/>
            <w:noWrap/>
          </w:tcPr>
          <w:p w:rsidR="008A294C" w:rsidRDefault="008A294C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743" w:type="pct"/>
            <w:gridSpan w:val="2"/>
            <w:tcBorders>
              <w:right w:val="single" w:sz="18" w:space="0" w:color="0070C0"/>
            </w:tcBorders>
            <w:noWrap/>
          </w:tcPr>
          <w:p w:rsidR="008A294C" w:rsidRDefault="008A294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BD0B4B" w:rsidRPr="00E6181A" w:rsidTr="00D15CE8">
        <w:trPr>
          <w:trHeight w:val="255"/>
        </w:trPr>
        <w:tc>
          <w:tcPr>
            <w:tcW w:w="2669" w:type="pct"/>
            <w:tcBorders>
              <w:left w:val="single" w:sz="18" w:space="0" w:color="0070C0"/>
            </w:tcBorders>
            <w:noWrap/>
            <w:hideMark/>
          </w:tcPr>
          <w:p w:rsidR="00BD0B4B" w:rsidRPr="00E6181A" w:rsidRDefault="00BD0B4B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</w:t>
            </w:r>
            <w:r w:rsidRPr="00BD0B4B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ew and reconstructed roads</w:t>
            </w:r>
          </w:p>
        </w:tc>
        <w:tc>
          <w:tcPr>
            <w:tcW w:w="818" w:type="pct"/>
            <w:gridSpan w:val="2"/>
            <w:noWrap/>
          </w:tcPr>
          <w:p w:rsidR="00BD0B4B" w:rsidRDefault="00BD0B4B" w:rsidP="007E4331">
            <w:pPr>
              <w:jc w:val="right"/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0" w:type="pct"/>
            <w:noWrap/>
          </w:tcPr>
          <w:p w:rsidR="00BD0B4B" w:rsidRPr="00E6181A" w:rsidRDefault="00D15CE8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743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BD0B4B" w:rsidRPr="00E6181A" w:rsidRDefault="00BD0B4B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km</w:t>
            </w:r>
          </w:p>
        </w:tc>
      </w:tr>
      <w:tr w:rsidR="00BD0B4B" w:rsidRPr="00BD0B4B" w:rsidTr="00D15CE8">
        <w:trPr>
          <w:trHeight w:val="255"/>
        </w:trPr>
        <w:tc>
          <w:tcPr>
            <w:tcW w:w="2669" w:type="pct"/>
            <w:tcBorders>
              <w:left w:val="single" w:sz="18" w:space="0" w:color="0070C0"/>
            </w:tcBorders>
            <w:noWrap/>
          </w:tcPr>
          <w:p w:rsidR="00BD0B4B" w:rsidRDefault="00BD0B4B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Number of start-ups supported</w:t>
            </w:r>
          </w:p>
        </w:tc>
        <w:tc>
          <w:tcPr>
            <w:tcW w:w="818" w:type="pct"/>
            <w:gridSpan w:val="2"/>
            <w:noWrap/>
          </w:tcPr>
          <w:p w:rsidR="00BD0B4B" w:rsidRPr="00BD0B4B" w:rsidRDefault="00BD0B4B" w:rsidP="007E4331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770" w:type="pct"/>
            <w:noWrap/>
          </w:tcPr>
          <w:p w:rsidR="00BD0B4B" w:rsidRDefault="00D15CE8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743" w:type="pct"/>
            <w:gridSpan w:val="2"/>
            <w:tcBorders>
              <w:right w:val="single" w:sz="18" w:space="0" w:color="0070C0"/>
            </w:tcBorders>
            <w:noWrap/>
          </w:tcPr>
          <w:p w:rsidR="00BD0B4B" w:rsidRDefault="00BD0B4B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start-ups</w:t>
            </w:r>
          </w:p>
        </w:tc>
      </w:tr>
      <w:tr w:rsidR="00BD0B4B" w:rsidRPr="00E6181A" w:rsidTr="00D15CE8">
        <w:trPr>
          <w:trHeight w:val="255"/>
        </w:trPr>
        <w:tc>
          <w:tcPr>
            <w:tcW w:w="2669" w:type="pct"/>
            <w:tcBorders>
              <w:left w:val="single" w:sz="18" w:space="0" w:color="0070C0"/>
              <w:bottom w:val="single" w:sz="18" w:space="0" w:color="0070C0"/>
            </w:tcBorders>
            <w:noWrap/>
            <w:hideMark/>
          </w:tcPr>
          <w:p w:rsidR="00BD0B4B" w:rsidRPr="00E6181A" w:rsidRDefault="00BD0B4B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D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irect investment aid projects to SME</w:t>
            </w:r>
          </w:p>
        </w:tc>
        <w:tc>
          <w:tcPr>
            <w:tcW w:w="818" w:type="pct"/>
            <w:gridSpan w:val="2"/>
            <w:tcBorders>
              <w:bottom w:val="single" w:sz="18" w:space="0" w:color="0070C0"/>
            </w:tcBorders>
            <w:noWrap/>
          </w:tcPr>
          <w:p w:rsidR="00BD0B4B" w:rsidRDefault="00BD0B4B" w:rsidP="007E4331">
            <w:pPr>
              <w:jc w:val="right"/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0" w:type="pct"/>
            <w:tcBorders>
              <w:bottom w:val="single" w:sz="18" w:space="0" w:color="0070C0"/>
            </w:tcBorders>
            <w:noWrap/>
          </w:tcPr>
          <w:p w:rsidR="00BD0B4B" w:rsidRPr="00581C0C" w:rsidRDefault="00D15CE8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2898</w:t>
            </w:r>
          </w:p>
        </w:tc>
        <w:tc>
          <w:tcPr>
            <w:tcW w:w="743" w:type="pct"/>
            <w:gridSpan w:val="2"/>
            <w:tcBorders>
              <w:bottom w:val="single" w:sz="18" w:space="0" w:color="0070C0"/>
              <w:right w:val="single" w:sz="18" w:space="0" w:color="0070C0"/>
            </w:tcBorders>
            <w:noWrap/>
            <w:hideMark/>
          </w:tcPr>
          <w:p w:rsidR="00BD0B4B" w:rsidRPr="00E6181A" w:rsidRDefault="00BD0B4B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projects</w:t>
            </w:r>
            <w:proofErr w:type="spellEnd"/>
          </w:p>
        </w:tc>
      </w:tr>
    </w:tbl>
    <w:p w:rsidR="003C750D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p w:rsidR="007E63BC" w:rsidRDefault="00D15CE8" w:rsidP="007E63BC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Romania follow a centralised approach to implementation of </w:t>
      </w:r>
      <w:r w:rsidR="0031249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EU Structural Funds, with no regional OPs. </w:t>
      </w:r>
      <w:r w:rsidR="007E63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Consequently, t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he </w:t>
      </w:r>
      <w:r w:rsidR="007E63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reported achievements are available only at the national level. A few basic indicators are presented in the table above,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and </w:t>
      </w:r>
      <w:r w:rsidR="007E63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a more comprehensive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set of measures</w:t>
      </w:r>
      <w:r w:rsidR="007E63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can be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found</w:t>
      </w:r>
      <w:r w:rsidR="007E63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in</w:t>
      </w:r>
      <w:r w:rsidR="007E63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 </w:t>
      </w:r>
      <w:r w:rsidR="003F48B7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WP3 </w:t>
      </w:r>
      <w:r w:rsidR="007E63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regional datasheet for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Romania</w:t>
      </w:r>
      <w:r w:rsidR="007E63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</w:t>
      </w:r>
    </w:p>
    <w:p w:rsidR="003C750D" w:rsidRPr="00E6181A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sectPr w:rsidR="003C750D" w:rsidRPr="00E6181A" w:rsidSect="003C750D">
      <w:headerReference w:type="default" r:id="rId8"/>
      <w:footerReference w:type="default" r:id="rId9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61" w:rsidRDefault="00D22D61" w:rsidP="008070D0">
      <w:pPr>
        <w:spacing w:after="0" w:line="240" w:lineRule="auto"/>
      </w:pPr>
      <w:r>
        <w:separator/>
      </w:r>
    </w:p>
  </w:endnote>
  <w:endnote w:type="continuationSeparator" w:id="0">
    <w:p w:rsidR="00D22D61" w:rsidRDefault="00D22D61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61" w:rsidRDefault="00D22D61" w:rsidP="008070D0">
      <w:pPr>
        <w:spacing w:after="0" w:line="240" w:lineRule="auto"/>
      </w:pPr>
      <w:r>
        <w:separator/>
      </w:r>
    </w:p>
  </w:footnote>
  <w:footnote w:type="continuationSeparator" w:id="0">
    <w:p w:rsidR="00D22D61" w:rsidRDefault="00D22D61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Default="008220A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E8C495" wp14:editId="0DCA50F6">
          <wp:simplePos x="0" y="0"/>
          <wp:positionH relativeFrom="column">
            <wp:posOffset>4337114</wp:posOffset>
          </wp:positionH>
          <wp:positionV relativeFrom="paragraph">
            <wp:posOffset>-332843</wp:posOffset>
          </wp:positionV>
          <wp:extent cx="2295525" cy="1021509"/>
          <wp:effectExtent l="0" t="0" r="0" b="0"/>
          <wp:wrapNone/>
          <wp:docPr id="1" name="Obraz 1" descr="C:\Users\Gaba\AppData\Local\Temp\Cohesify-logo-horizont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\AppData\Local\Temp\Cohesify-logo-horizontal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Ploszaj">
    <w15:presenceInfo w15:providerId="Windows Live" w15:userId="068e2a2a15605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CwNDY1MTM1N7ZQ0lEKTi0uzszPAykwqgUA/uUedywAAAA="/>
  </w:docVars>
  <w:rsids>
    <w:rsidRoot w:val="00A56F2A"/>
    <w:rsid w:val="00005CBA"/>
    <w:rsid w:val="00020410"/>
    <w:rsid w:val="00041C48"/>
    <w:rsid w:val="00094052"/>
    <w:rsid w:val="000D7DAE"/>
    <w:rsid w:val="000E6E42"/>
    <w:rsid w:val="001270D4"/>
    <w:rsid w:val="00127195"/>
    <w:rsid w:val="001F3B79"/>
    <w:rsid w:val="00211151"/>
    <w:rsid w:val="00221148"/>
    <w:rsid w:val="00227060"/>
    <w:rsid w:val="002466DC"/>
    <w:rsid w:val="00251FE3"/>
    <w:rsid w:val="00262AC8"/>
    <w:rsid w:val="00294768"/>
    <w:rsid w:val="002D268A"/>
    <w:rsid w:val="00303CBA"/>
    <w:rsid w:val="00312491"/>
    <w:rsid w:val="00386949"/>
    <w:rsid w:val="003946EE"/>
    <w:rsid w:val="003B331E"/>
    <w:rsid w:val="003C750D"/>
    <w:rsid w:val="003E4D75"/>
    <w:rsid w:val="003E7766"/>
    <w:rsid w:val="003F48B7"/>
    <w:rsid w:val="00405B9B"/>
    <w:rsid w:val="00416766"/>
    <w:rsid w:val="00451674"/>
    <w:rsid w:val="004A7819"/>
    <w:rsid w:val="004B7124"/>
    <w:rsid w:val="004D05AF"/>
    <w:rsid w:val="005769B2"/>
    <w:rsid w:val="00581C0C"/>
    <w:rsid w:val="005A20EB"/>
    <w:rsid w:val="00680019"/>
    <w:rsid w:val="006C17C2"/>
    <w:rsid w:val="006E4D55"/>
    <w:rsid w:val="006E78F8"/>
    <w:rsid w:val="006E7FD8"/>
    <w:rsid w:val="006E7FDD"/>
    <w:rsid w:val="006F57BC"/>
    <w:rsid w:val="00795B0F"/>
    <w:rsid w:val="007D0C38"/>
    <w:rsid w:val="007E63BC"/>
    <w:rsid w:val="00802D7C"/>
    <w:rsid w:val="008070D0"/>
    <w:rsid w:val="008220A7"/>
    <w:rsid w:val="00837A1D"/>
    <w:rsid w:val="00864053"/>
    <w:rsid w:val="008A294C"/>
    <w:rsid w:val="008A2D04"/>
    <w:rsid w:val="008E3B5E"/>
    <w:rsid w:val="00921C6E"/>
    <w:rsid w:val="009B0D0C"/>
    <w:rsid w:val="009F5B5E"/>
    <w:rsid w:val="00A56F2A"/>
    <w:rsid w:val="00AD5513"/>
    <w:rsid w:val="00B51A15"/>
    <w:rsid w:val="00BA7E8E"/>
    <w:rsid w:val="00BD0B4B"/>
    <w:rsid w:val="00C201C3"/>
    <w:rsid w:val="00C27C6F"/>
    <w:rsid w:val="00C742A0"/>
    <w:rsid w:val="00CA0E0A"/>
    <w:rsid w:val="00CB7959"/>
    <w:rsid w:val="00CD704C"/>
    <w:rsid w:val="00D066FD"/>
    <w:rsid w:val="00D15CE8"/>
    <w:rsid w:val="00D22D61"/>
    <w:rsid w:val="00D44C81"/>
    <w:rsid w:val="00DA6AF4"/>
    <w:rsid w:val="00E07ADD"/>
    <w:rsid w:val="00E1456B"/>
    <w:rsid w:val="00E265F8"/>
    <w:rsid w:val="00E36941"/>
    <w:rsid w:val="00E6181A"/>
    <w:rsid w:val="00E64D4C"/>
    <w:rsid w:val="00E95825"/>
    <w:rsid w:val="00EA6081"/>
    <w:rsid w:val="00EC02F9"/>
    <w:rsid w:val="00F0456E"/>
    <w:rsid w:val="00F14E25"/>
    <w:rsid w:val="00F269AC"/>
    <w:rsid w:val="00F750CA"/>
    <w:rsid w:val="00F85BAD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  <w:style w:type="character" w:customStyle="1" w:styleId="gi">
    <w:name w:val="gi"/>
    <w:basedOn w:val="Domylnaczcionkaakapitu"/>
    <w:rsid w:val="002466DC"/>
  </w:style>
  <w:style w:type="paragraph" w:styleId="Akapitzlist">
    <w:name w:val="List Paragraph"/>
    <w:basedOn w:val="Normalny"/>
    <w:uiPriority w:val="34"/>
    <w:qFormat/>
    <w:rsid w:val="007E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  <w:style w:type="character" w:customStyle="1" w:styleId="gi">
    <w:name w:val="gi"/>
    <w:basedOn w:val="Domylnaczcionkaakapitu"/>
    <w:rsid w:val="002466DC"/>
  </w:style>
  <w:style w:type="paragraph" w:styleId="Akapitzlist">
    <w:name w:val="List Paragraph"/>
    <w:basedOn w:val="Normalny"/>
    <w:uiPriority w:val="34"/>
    <w:qFormat/>
    <w:rsid w:val="007E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2091-7B3B-4ED5-A8A1-D890C7B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Gabriela Galdámez Muñoz</cp:lastModifiedBy>
  <cp:revision>2</cp:revision>
  <dcterms:created xsi:type="dcterms:W3CDTF">2017-02-24T14:35:00Z</dcterms:created>
  <dcterms:modified xsi:type="dcterms:W3CDTF">2017-02-24T14:35:00Z</dcterms:modified>
</cp:coreProperties>
</file>