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81A" w:rsidRDefault="00A56F2A" w:rsidP="009B0D0C">
      <w:pPr>
        <w:pStyle w:val="lvl1Heading"/>
        <w:spacing w:before="120"/>
        <w:ind w:left="357" w:hanging="357"/>
      </w:pPr>
      <w:r w:rsidRPr="00E6181A">
        <w:t>Factsheet on Cohesion Policy i</w:t>
      </w:r>
      <w:r w:rsidR="00E6181A">
        <w:t>mplementation and performance</w:t>
      </w:r>
    </w:p>
    <w:p w:rsidR="003B331E" w:rsidRPr="00E6181A" w:rsidRDefault="00E6181A" w:rsidP="009B0D0C">
      <w:pPr>
        <w:pStyle w:val="lvl1Heading"/>
        <w:spacing w:before="120"/>
        <w:ind w:left="357" w:hanging="357"/>
      </w:pPr>
      <w:r>
        <w:t>C</w:t>
      </w:r>
      <w:r w:rsidR="00A56F2A" w:rsidRPr="00E6181A">
        <w:t xml:space="preserve">ase study regions in </w:t>
      </w:r>
      <w:r w:rsidR="00130863">
        <w:t>the Netherlands</w:t>
      </w:r>
    </w:p>
    <w:p w:rsidR="00A56F2A" w:rsidRDefault="00412E25" w:rsidP="00E95825">
      <w:pPr>
        <w:spacing w:after="160" w:line="240" w:lineRule="auto"/>
        <w:jc w:val="right"/>
        <w:rPr>
          <w:rFonts w:ascii="Century Gothic" w:eastAsia="MS Mincho" w:hAnsi="Century Gothic" w:cs="Arial"/>
          <w:bCs/>
          <w:color w:val="0D8B95"/>
          <w:kern w:val="24"/>
          <w:sz w:val="24"/>
          <w:szCs w:val="28"/>
          <w:lang w:val="en-GB" w:eastAsia="ja-JP"/>
        </w:rPr>
      </w:pPr>
      <w:r>
        <w:rPr>
          <w:rFonts w:ascii="Century Gothic" w:eastAsia="MS Mincho" w:hAnsi="Century Gothic" w:cs="Arial"/>
          <w:bCs/>
          <w:color w:val="0D8B95"/>
          <w:kern w:val="24"/>
          <w:sz w:val="24"/>
          <w:szCs w:val="28"/>
          <w:lang w:val="en-GB" w:eastAsia="ja-JP"/>
        </w:rPr>
        <w:t>Version 22</w:t>
      </w:r>
      <w:r w:rsidR="00E6181A" w:rsidRPr="00E95825">
        <w:rPr>
          <w:rFonts w:ascii="Century Gothic" w:eastAsia="MS Mincho" w:hAnsi="Century Gothic" w:cs="Arial"/>
          <w:bCs/>
          <w:color w:val="0D8B95"/>
          <w:kern w:val="24"/>
          <w:sz w:val="24"/>
          <w:szCs w:val="28"/>
          <w:lang w:val="en-GB" w:eastAsia="ja-JP"/>
        </w:rPr>
        <w:t>.0</w:t>
      </w:r>
      <w:r w:rsidR="009F5B5E">
        <w:rPr>
          <w:rFonts w:ascii="Century Gothic" w:eastAsia="MS Mincho" w:hAnsi="Century Gothic" w:cs="Arial"/>
          <w:bCs/>
          <w:color w:val="0D8B95"/>
          <w:kern w:val="24"/>
          <w:sz w:val="24"/>
          <w:szCs w:val="28"/>
          <w:lang w:val="en-GB" w:eastAsia="ja-JP"/>
        </w:rPr>
        <w:t>2</w:t>
      </w:r>
      <w:r w:rsidR="00E6181A" w:rsidRPr="00E95825">
        <w:rPr>
          <w:rFonts w:ascii="Century Gothic" w:eastAsia="MS Mincho" w:hAnsi="Century Gothic" w:cs="Arial"/>
          <w:bCs/>
          <w:color w:val="0D8B95"/>
          <w:kern w:val="24"/>
          <w:sz w:val="24"/>
          <w:szCs w:val="28"/>
          <w:lang w:val="en-GB" w:eastAsia="ja-JP"/>
        </w:rPr>
        <w:t>.2017,</w:t>
      </w:r>
      <w:r w:rsidR="00386949" w:rsidRPr="00E95825">
        <w:rPr>
          <w:rFonts w:ascii="Century Gothic" w:eastAsia="MS Mincho" w:hAnsi="Century Gothic" w:cs="Arial"/>
          <w:bCs/>
          <w:color w:val="0D8B95"/>
          <w:kern w:val="24"/>
          <w:sz w:val="24"/>
          <w:szCs w:val="28"/>
          <w:lang w:val="en-GB" w:eastAsia="ja-JP"/>
        </w:rPr>
        <w:t xml:space="preserve"> EUROREG</w:t>
      </w:r>
    </w:p>
    <w:tbl>
      <w:tblPr>
        <w:tblStyle w:val="Tabela-Siatka"/>
        <w:tblW w:w="5000" w:type="pct"/>
        <w:tblCellMar>
          <w:top w:w="28" w:type="dxa"/>
          <w:left w:w="85" w:type="dxa"/>
          <w:bottom w:w="28" w:type="dxa"/>
          <w:right w:w="85" w:type="dxa"/>
        </w:tblCellMar>
        <w:tblLook w:val="04A0" w:firstRow="1" w:lastRow="0" w:firstColumn="1" w:lastColumn="0" w:noHBand="0" w:noVBand="1"/>
      </w:tblPr>
      <w:tblGrid>
        <w:gridCol w:w="3706"/>
        <w:gridCol w:w="1624"/>
        <w:gridCol w:w="1638"/>
        <w:gridCol w:w="1476"/>
        <w:gridCol w:w="1472"/>
      </w:tblGrid>
      <w:tr w:rsidR="00130863" w:rsidRPr="00E6181A" w:rsidTr="00130863">
        <w:trPr>
          <w:trHeight w:val="255"/>
        </w:trPr>
        <w:tc>
          <w:tcPr>
            <w:tcW w:w="1869" w:type="pct"/>
            <w:tcBorders>
              <w:top w:val="single" w:sz="18" w:space="0" w:color="00B050"/>
              <w:left w:val="single" w:sz="18" w:space="0" w:color="00B050"/>
              <w:bottom w:val="single" w:sz="18" w:space="0" w:color="00B050"/>
            </w:tcBorders>
            <w:shd w:val="clear" w:color="auto" w:fill="C2D69B" w:themeFill="accent3" w:themeFillTint="99"/>
            <w:noWrap/>
            <w:hideMark/>
          </w:tcPr>
          <w:p w:rsidR="00130863" w:rsidRPr="00E6181A" w:rsidRDefault="00130863" w:rsidP="00A56F2A">
            <w:pPr>
              <w:rPr>
                <w:rFonts w:ascii="Corbel" w:eastAsia="Times New Roman" w:hAnsi="Corbel" w:cs="Arial"/>
                <w:b/>
                <w:color w:val="000000"/>
                <w:sz w:val="20"/>
                <w:szCs w:val="20"/>
                <w:lang w:val="en-US" w:eastAsia="pl-PL"/>
              </w:rPr>
            </w:pPr>
            <w:r w:rsidRPr="00E6181A">
              <w:rPr>
                <w:rFonts w:ascii="Corbel" w:eastAsia="Times New Roman" w:hAnsi="Corbel" w:cs="Arial"/>
                <w:b/>
                <w:color w:val="000000"/>
                <w:sz w:val="20"/>
                <w:szCs w:val="20"/>
                <w:lang w:val="en-US" w:eastAsia="pl-PL"/>
              </w:rPr>
              <w:t>Basic info</w:t>
            </w:r>
          </w:p>
        </w:tc>
        <w:tc>
          <w:tcPr>
            <w:tcW w:w="819" w:type="pct"/>
            <w:tcBorders>
              <w:top w:val="single" w:sz="18" w:space="0" w:color="00B050"/>
              <w:bottom w:val="single" w:sz="18" w:space="0" w:color="00B050"/>
            </w:tcBorders>
            <w:shd w:val="clear" w:color="auto" w:fill="C2D69B" w:themeFill="accent3" w:themeFillTint="99"/>
            <w:noWrap/>
            <w:hideMark/>
          </w:tcPr>
          <w:p w:rsidR="00130863" w:rsidRPr="00130863" w:rsidRDefault="00130863" w:rsidP="00130863">
            <w:pPr>
              <w:rPr>
                <w:rFonts w:ascii="Corbel" w:eastAsia="Times New Roman" w:hAnsi="Corbel" w:cs="Arial"/>
                <w:b/>
                <w:color w:val="000000"/>
                <w:sz w:val="20"/>
                <w:szCs w:val="20"/>
                <w:lang w:val="en-US" w:eastAsia="pl-PL"/>
              </w:rPr>
            </w:pPr>
            <w:r>
              <w:rPr>
                <w:rFonts w:ascii="Corbel" w:eastAsia="Times New Roman" w:hAnsi="Corbel" w:cs="Arial"/>
                <w:b/>
                <w:color w:val="000000"/>
                <w:sz w:val="20"/>
                <w:szCs w:val="20"/>
                <w:lang w:val="en-US" w:eastAsia="pl-PL"/>
              </w:rPr>
              <w:t>Flevoland</w:t>
            </w:r>
          </w:p>
        </w:tc>
        <w:tc>
          <w:tcPr>
            <w:tcW w:w="826" w:type="pct"/>
            <w:tcBorders>
              <w:top w:val="single" w:sz="18" w:space="0" w:color="00B050"/>
              <w:bottom w:val="single" w:sz="18" w:space="0" w:color="00B050"/>
            </w:tcBorders>
            <w:shd w:val="clear" w:color="auto" w:fill="C2D69B" w:themeFill="accent3" w:themeFillTint="99"/>
            <w:noWrap/>
            <w:hideMark/>
          </w:tcPr>
          <w:p w:rsidR="00130863" w:rsidRPr="00130863" w:rsidRDefault="00130863" w:rsidP="00130863">
            <w:pPr>
              <w:rPr>
                <w:rFonts w:ascii="Corbel" w:eastAsia="Times New Roman" w:hAnsi="Corbel" w:cs="Arial"/>
                <w:b/>
                <w:color w:val="000000"/>
                <w:sz w:val="20"/>
                <w:szCs w:val="20"/>
                <w:lang w:val="en-US" w:eastAsia="pl-PL"/>
              </w:rPr>
            </w:pPr>
            <w:r>
              <w:rPr>
                <w:rFonts w:ascii="Corbel" w:eastAsia="Times New Roman" w:hAnsi="Corbel" w:cs="Arial"/>
                <w:b/>
                <w:color w:val="000000"/>
                <w:sz w:val="20"/>
                <w:szCs w:val="20"/>
                <w:lang w:val="en-US" w:eastAsia="pl-PL"/>
              </w:rPr>
              <w:t>Limburg</w:t>
            </w:r>
          </w:p>
        </w:tc>
        <w:tc>
          <w:tcPr>
            <w:tcW w:w="744" w:type="pct"/>
            <w:tcBorders>
              <w:top w:val="single" w:sz="18" w:space="0" w:color="00B050"/>
              <w:bottom w:val="single" w:sz="18" w:space="0" w:color="00B050"/>
            </w:tcBorders>
            <w:shd w:val="clear" w:color="auto" w:fill="C2D69B" w:themeFill="accent3" w:themeFillTint="99"/>
            <w:noWrap/>
            <w:hideMark/>
          </w:tcPr>
          <w:p w:rsidR="00130863" w:rsidRPr="00130863" w:rsidRDefault="00130863" w:rsidP="00130863">
            <w:pPr>
              <w:rPr>
                <w:rFonts w:ascii="Corbel" w:eastAsia="Times New Roman" w:hAnsi="Corbel" w:cs="Arial"/>
                <w:b/>
                <w:color w:val="000000"/>
                <w:sz w:val="20"/>
                <w:szCs w:val="20"/>
                <w:lang w:val="en-US" w:eastAsia="pl-PL"/>
              </w:rPr>
            </w:pPr>
            <w:r w:rsidRPr="00130863">
              <w:rPr>
                <w:rFonts w:ascii="Corbel" w:eastAsia="Times New Roman" w:hAnsi="Corbel" w:cs="Arial"/>
                <w:b/>
                <w:color w:val="000000"/>
                <w:sz w:val="20"/>
                <w:szCs w:val="20"/>
                <w:lang w:val="en-US" w:eastAsia="pl-PL"/>
              </w:rPr>
              <w:t>Netherlands</w:t>
            </w:r>
          </w:p>
        </w:tc>
        <w:tc>
          <w:tcPr>
            <w:tcW w:w="742" w:type="pct"/>
            <w:tcBorders>
              <w:top w:val="single" w:sz="18" w:space="0" w:color="00B050"/>
              <w:bottom w:val="single" w:sz="18" w:space="0" w:color="00B050"/>
              <w:right w:val="single" w:sz="18" w:space="0" w:color="00B050"/>
            </w:tcBorders>
            <w:shd w:val="clear" w:color="auto" w:fill="C2D69B" w:themeFill="accent3" w:themeFillTint="99"/>
            <w:noWrap/>
            <w:hideMark/>
          </w:tcPr>
          <w:p w:rsidR="00130863" w:rsidRPr="00E6181A" w:rsidRDefault="00130863" w:rsidP="009B0D0C">
            <w:pPr>
              <w:jc w:val="center"/>
              <w:rPr>
                <w:rFonts w:ascii="Corbel" w:eastAsia="Times New Roman" w:hAnsi="Corbel" w:cs="Arial"/>
                <w:b/>
                <w:color w:val="000000"/>
                <w:sz w:val="20"/>
                <w:szCs w:val="20"/>
                <w:lang w:val="en-US" w:eastAsia="pl-PL"/>
              </w:rPr>
            </w:pPr>
            <w:r w:rsidRPr="00E6181A">
              <w:rPr>
                <w:rFonts w:ascii="Corbel" w:eastAsia="Times New Roman" w:hAnsi="Corbel" w:cs="Arial"/>
                <w:b/>
                <w:color w:val="000000"/>
                <w:sz w:val="20"/>
                <w:szCs w:val="20"/>
                <w:lang w:val="en-US" w:eastAsia="pl-PL"/>
              </w:rPr>
              <w:t>Unit</w:t>
            </w:r>
          </w:p>
        </w:tc>
      </w:tr>
      <w:tr w:rsidR="00451674" w:rsidRPr="00E6181A" w:rsidTr="00571C5F">
        <w:trPr>
          <w:trHeight w:val="255"/>
        </w:trPr>
        <w:tc>
          <w:tcPr>
            <w:tcW w:w="1869" w:type="pct"/>
            <w:tcBorders>
              <w:top w:val="single" w:sz="18" w:space="0" w:color="00B050"/>
              <w:left w:val="single" w:sz="18" w:space="0" w:color="00B050"/>
            </w:tcBorders>
            <w:noWrap/>
            <w:hideMark/>
          </w:tcPr>
          <w:p w:rsidR="00A56F2A" w:rsidRPr="00E6181A" w:rsidRDefault="00A56F2A" w:rsidP="009B0D0C">
            <w:pPr>
              <w:rPr>
                <w:rFonts w:ascii="Corbel" w:eastAsia="Times New Roman" w:hAnsi="Corbel" w:cs="Arial"/>
                <w:color w:val="000000"/>
                <w:sz w:val="20"/>
                <w:szCs w:val="20"/>
                <w:lang w:val="en-US" w:eastAsia="pl-PL"/>
              </w:rPr>
            </w:pPr>
            <w:r w:rsidRPr="00E6181A">
              <w:rPr>
                <w:rFonts w:ascii="Corbel" w:eastAsia="Times New Roman" w:hAnsi="Corbel" w:cs="Arial"/>
                <w:color w:val="000000"/>
                <w:sz w:val="20"/>
                <w:szCs w:val="20"/>
                <w:lang w:val="en-US" w:eastAsia="pl-PL"/>
              </w:rPr>
              <w:t>Population [2008]</w:t>
            </w:r>
          </w:p>
        </w:tc>
        <w:tc>
          <w:tcPr>
            <w:tcW w:w="819" w:type="pct"/>
            <w:tcBorders>
              <w:top w:val="single" w:sz="18" w:space="0" w:color="00B050"/>
            </w:tcBorders>
            <w:noWrap/>
          </w:tcPr>
          <w:p w:rsidR="00A56F2A" w:rsidRPr="00E6181A" w:rsidRDefault="00130863" w:rsidP="00A56F2A">
            <w:pPr>
              <w:jc w:val="right"/>
              <w:rPr>
                <w:rFonts w:ascii="Corbel" w:eastAsia="Times New Roman" w:hAnsi="Corbel" w:cs="Arial"/>
                <w:color w:val="000000"/>
                <w:sz w:val="20"/>
                <w:szCs w:val="20"/>
                <w:lang w:val="en-US" w:eastAsia="pl-PL"/>
              </w:rPr>
            </w:pPr>
            <w:r>
              <w:rPr>
                <w:rFonts w:ascii="Corbel" w:eastAsia="Times New Roman" w:hAnsi="Corbel" w:cs="Arial"/>
                <w:color w:val="000000"/>
                <w:sz w:val="20"/>
                <w:szCs w:val="20"/>
                <w:lang w:val="en-US" w:eastAsia="pl-PL"/>
              </w:rPr>
              <w:t>378.7</w:t>
            </w:r>
          </w:p>
        </w:tc>
        <w:tc>
          <w:tcPr>
            <w:tcW w:w="826" w:type="pct"/>
            <w:tcBorders>
              <w:top w:val="single" w:sz="18" w:space="0" w:color="00B050"/>
            </w:tcBorders>
            <w:noWrap/>
          </w:tcPr>
          <w:p w:rsidR="00A56F2A" w:rsidRPr="00E6181A" w:rsidRDefault="00130863" w:rsidP="00A56F2A">
            <w:pPr>
              <w:jc w:val="right"/>
              <w:rPr>
                <w:rFonts w:ascii="Corbel" w:eastAsia="Times New Roman" w:hAnsi="Corbel" w:cs="Arial"/>
                <w:color w:val="000000"/>
                <w:sz w:val="20"/>
                <w:szCs w:val="20"/>
                <w:lang w:val="en-US" w:eastAsia="pl-PL"/>
              </w:rPr>
            </w:pPr>
            <w:r>
              <w:rPr>
                <w:rFonts w:ascii="Corbel" w:eastAsia="Times New Roman" w:hAnsi="Corbel" w:cs="Arial"/>
                <w:color w:val="000000"/>
                <w:sz w:val="20"/>
                <w:szCs w:val="20"/>
                <w:lang w:val="en-US" w:eastAsia="pl-PL"/>
              </w:rPr>
              <w:t>1123.7</w:t>
            </w:r>
          </w:p>
        </w:tc>
        <w:tc>
          <w:tcPr>
            <w:tcW w:w="744" w:type="pct"/>
            <w:tcBorders>
              <w:top w:val="single" w:sz="18" w:space="0" w:color="00B050"/>
            </w:tcBorders>
            <w:noWrap/>
          </w:tcPr>
          <w:p w:rsidR="00A56F2A" w:rsidRPr="00E6181A" w:rsidRDefault="00130863" w:rsidP="00A56F2A">
            <w:pPr>
              <w:jc w:val="right"/>
              <w:rPr>
                <w:rFonts w:ascii="Corbel" w:eastAsia="Times New Roman" w:hAnsi="Corbel" w:cs="Arial"/>
                <w:color w:val="000000"/>
                <w:sz w:val="20"/>
                <w:szCs w:val="20"/>
                <w:lang w:val="en-US" w:eastAsia="pl-PL"/>
              </w:rPr>
            </w:pPr>
            <w:r>
              <w:rPr>
                <w:rFonts w:ascii="Corbel" w:eastAsia="Times New Roman" w:hAnsi="Corbel" w:cs="Arial"/>
                <w:color w:val="000000"/>
                <w:sz w:val="20"/>
                <w:szCs w:val="20"/>
                <w:lang w:val="en-US" w:eastAsia="pl-PL"/>
              </w:rPr>
              <w:t>16405.4</w:t>
            </w:r>
          </w:p>
        </w:tc>
        <w:tc>
          <w:tcPr>
            <w:tcW w:w="742" w:type="pct"/>
            <w:tcBorders>
              <w:top w:val="single" w:sz="18" w:space="0" w:color="00B050"/>
              <w:right w:val="single" w:sz="18" w:space="0" w:color="00B050"/>
            </w:tcBorders>
            <w:noWrap/>
            <w:hideMark/>
          </w:tcPr>
          <w:p w:rsidR="00A56F2A" w:rsidRPr="00E6181A" w:rsidRDefault="00A56F2A" w:rsidP="00A56F2A">
            <w:pPr>
              <w:rPr>
                <w:rFonts w:ascii="Corbel" w:eastAsia="Times New Roman" w:hAnsi="Corbel" w:cs="Arial"/>
                <w:color w:val="000000"/>
                <w:sz w:val="20"/>
                <w:szCs w:val="20"/>
                <w:lang w:val="en-US" w:eastAsia="pl-PL"/>
              </w:rPr>
            </w:pPr>
            <w:proofErr w:type="spellStart"/>
            <w:r w:rsidRPr="00E6181A">
              <w:rPr>
                <w:rFonts w:ascii="Corbel" w:eastAsia="Times New Roman" w:hAnsi="Corbel" w:cs="Arial"/>
                <w:color w:val="000000"/>
                <w:sz w:val="20"/>
                <w:szCs w:val="20"/>
                <w:lang w:val="en-US" w:eastAsia="pl-PL"/>
              </w:rPr>
              <w:t>thous</w:t>
            </w:r>
            <w:proofErr w:type="spellEnd"/>
            <w:r w:rsidRPr="00E6181A">
              <w:rPr>
                <w:rFonts w:ascii="Corbel" w:eastAsia="Times New Roman" w:hAnsi="Corbel" w:cs="Arial"/>
                <w:color w:val="000000"/>
                <w:sz w:val="20"/>
                <w:szCs w:val="20"/>
                <w:lang w:val="en-US" w:eastAsia="pl-PL"/>
              </w:rPr>
              <w:t>.</w:t>
            </w:r>
          </w:p>
        </w:tc>
      </w:tr>
      <w:tr w:rsidR="00451674" w:rsidRPr="00E6181A" w:rsidTr="00571C5F">
        <w:trPr>
          <w:trHeight w:val="255"/>
        </w:trPr>
        <w:tc>
          <w:tcPr>
            <w:tcW w:w="1869" w:type="pct"/>
            <w:tcBorders>
              <w:left w:val="single" w:sz="18" w:space="0" w:color="00B050"/>
            </w:tcBorders>
            <w:noWrap/>
            <w:hideMark/>
          </w:tcPr>
          <w:p w:rsidR="00A56F2A" w:rsidRPr="00E6181A" w:rsidRDefault="00A56F2A" w:rsidP="009B0D0C">
            <w:pPr>
              <w:rPr>
                <w:rFonts w:ascii="Corbel" w:eastAsia="Times New Roman" w:hAnsi="Corbel" w:cs="Arial"/>
                <w:color w:val="000000"/>
                <w:sz w:val="20"/>
                <w:szCs w:val="20"/>
                <w:lang w:val="en-US" w:eastAsia="pl-PL"/>
              </w:rPr>
            </w:pPr>
            <w:r w:rsidRPr="00E6181A">
              <w:rPr>
                <w:rFonts w:ascii="Corbel" w:eastAsia="Times New Roman" w:hAnsi="Corbel" w:cs="Arial"/>
                <w:color w:val="000000"/>
                <w:sz w:val="20"/>
                <w:szCs w:val="20"/>
                <w:lang w:val="en-US" w:eastAsia="pl-PL"/>
              </w:rPr>
              <w:t>GDP [2008]</w:t>
            </w:r>
          </w:p>
        </w:tc>
        <w:tc>
          <w:tcPr>
            <w:tcW w:w="819" w:type="pct"/>
            <w:noWrap/>
          </w:tcPr>
          <w:p w:rsidR="00A56F2A" w:rsidRPr="00E6181A" w:rsidRDefault="00130863" w:rsidP="00A56F2A">
            <w:pPr>
              <w:jc w:val="right"/>
              <w:rPr>
                <w:rFonts w:ascii="Corbel" w:eastAsia="Times New Roman" w:hAnsi="Corbel" w:cs="Arial"/>
                <w:color w:val="000000"/>
                <w:sz w:val="20"/>
                <w:szCs w:val="20"/>
                <w:lang w:val="en-US" w:eastAsia="pl-PL"/>
              </w:rPr>
            </w:pPr>
            <w:r>
              <w:rPr>
                <w:rFonts w:ascii="Corbel" w:eastAsia="Times New Roman" w:hAnsi="Corbel" w:cs="Arial"/>
                <w:color w:val="000000"/>
                <w:sz w:val="20"/>
                <w:szCs w:val="20"/>
                <w:lang w:val="en-US" w:eastAsia="pl-PL"/>
              </w:rPr>
              <w:t>11625</w:t>
            </w:r>
          </w:p>
        </w:tc>
        <w:tc>
          <w:tcPr>
            <w:tcW w:w="826" w:type="pct"/>
            <w:noWrap/>
          </w:tcPr>
          <w:p w:rsidR="00A56F2A" w:rsidRPr="00E6181A" w:rsidRDefault="00130863"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35381</w:t>
            </w:r>
          </w:p>
        </w:tc>
        <w:tc>
          <w:tcPr>
            <w:tcW w:w="744" w:type="pct"/>
            <w:noWrap/>
          </w:tcPr>
          <w:p w:rsidR="00A56F2A" w:rsidRPr="00E6181A" w:rsidRDefault="00130863"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639163</w:t>
            </w:r>
          </w:p>
        </w:tc>
        <w:tc>
          <w:tcPr>
            <w:tcW w:w="742" w:type="pct"/>
            <w:tcBorders>
              <w:right w:val="single" w:sz="18" w:space="0" w:color="00B050"/>
            </w:tcBorders>
            <w:noWrap/>
            <w:hideMark/>
          </w:tcPr>
          <w:p w:rsidR="00A56F2A" w:rsidRPr="00E6181A" w:rsidRDefault="00A56F2A" w:rsidP="00A56F2A">
            <w:pPr>
              <w:rPr>
                <w:rFonts w:ascii="Corbel" w:eastAsia="Times New Roman" w:hAnsi="Corbel" w:cs="Arial"/>
                <w:color w:val="000000"/>
                <w:sz w:val="20"/>
                <w:szCs w:val="20"/>
                <w:lang w:eastAsia="pl-PL"/>
              </w:rPr>
            </w:pPr>
            <w:r w:rsidRPr="00E6181A">
              <w:rPr>
                <w:rFonts w:ascii="Corbel" w:eastAsia="Times New Roman" w:hAnsi="Corbel" w:cs="Arial"/>
                <w:color w:val="000000"/>
                <w:sz w:val="20"/>
                <w:szCs w:val="20"/>
                <w:lang w:eastAsia="pl-PL"/>
              </w:rPr>
              <w:t>mln EUR</w:t>
            </w:r>
          </w:p>
        </w:tc>
      </w:tr>
      <w:tr w:rsidR="00451674" w:rsidRPr="00E6181A" w:rsidTr="00571C5F">
        <w:trPr>
          <w:trHeight w:val="255"/>
        </w:trPr>
        <w:tc>
          <w:tcPr>
            <w:tcW w:w="1869" w:type="pct"/>
            <w:tcBorders>
              <w:left w:val="single" w:sz="18" w:space="0" w:color="00B050"/>
            </w:tcBorders>
            <w:noWrap/>
            <w:hideMark/>
          </w:tcPr>
          <w:p w:rsidR="00A56F2A" w:rsidRPr="00E6181A" w:rsidRDefault="00A56F2A" w:rsidP="009B0D0C">
            <w:pPr>
              <w:rPr>
                <w:rFonts w:ascii="Corbel" w:eastAsia="Times New Roman" w:hAnsi="Corbel" w:cs="Arial"/>
                <w:color w:val="000000"/>
                <w:sz w:val="20"/>
                <w:szCs w:val="20"/>
                <w:lang w:eastAsia="pl-PL"/>
              </w:rPr>
            </w:pPr>
            <w:proofErr w:type="spellStart"/>
            <w:r w:rsidRPr="00E6181A">
              <w:rPr>
                <w:rFonts w:ascii="Corbel" w:eastAsia="Times New Roman" w:hAnsi="Corbel" w:cs="Arial"/>
                <w:color w:val="000000"/>
                <w:sz w:val="20"/>
                <w:szCs w:val="20"/>
                <w:lang w:eastAsia="pl-PL"/>
              </w:rPr>
              <w:t>Population</w:t>
            </w:r>
            <w:proofErr w:type="spellEnd"/>
            <w:r w:rsidRPr="00E6181A">
              <w:rPr>
                <w:rFonts w:ascii="Corbel" w:eastAsia="Times New Roman" w:hAnsi="Corbel" w:cs="Arial"/>
                <w:color w:val="000000"/>
                <w:sz w:val="20"/>
                <w:szCs w:val="20"/>
                <w:lang w:eastAsia="pl-PL"/>
              </w:rPr>
              <w:t xml:space="preserve"> [2014]</w:t>
            </w:r>
          </w:p>
        </w:tc>
        <w:tc>
          <w:tcPr>
            <w:tcW w:w="819" w:type="pct"/>
            <w:noWrap/>
          </w:tcPr>
          <w:p w:rsidR="00A56F2A" w:rsidRPr="00E6181A" w:rsidRDefault="00130863"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399.9</w:t>
            </w:r>
          </w:p>
        </w:tc>
        <w:tc>
          <w:tcPr>
            <w:tcW w:w="826" w:type="pct"/>
            <w:noWrap/>
          </w:tcPr>
          <w:p w:rsidR="00A56F2A" w:rsidRPr="00E6181A" w:rsidRDefault="00130863"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1120.0</w:t>
            </w:r>
          </w:p>
        </w:tc>
        <w:tc>
          <w:tcPr>
            <w:tcW w:w="744" w:type="pct"/>
            <w:noWrap/>
          </w:tcPr>
          <w:p w:rsidR="00A56F2A" w:rsidRPr="00E6181A" w:rsidRDefault="00130863"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16829.3</w:t>
            </w:r>
          </w:p>
        </w:tc>
        <w:tc>
          <w:tcPr>
            <w:tcW w:w="742" w:type="pct"/>
            <w:tcBorders>
              <w:right w:val="single" w:sz="18" w:space="0" w:color="00B050"/>
            </w:tcBorders>
            <w:noWrap/>
            <w:hideMark/>
          </w:tcPr>
          <w:p w:rsidR="00A56F2A" w:rsidRPr="00E6181A" w:rsidRDefault="00A56F2A" w:rsidP="00A56F2A">
            <w:pPr>
              <w:rPr>
                <w:rFonts w:ascii="Corbel" w:eastAsia="Times New Roman" w:hAnsi="Corbel" w:cs="Arial"/>
                <w:color w:val="000000"/>
                <w:sz w:val="20"/>
                <w:szCs w:val="20"/>
                <w:lang w:eastAsia="pl-PL"/>
              </w:rPr>
            </w:pPr>
            <w:proofErr w:type="spellStart"/>
            <w:r w:rsidRPr="00E6181A">
              <w:rPr>
                <w:rFonts w:ascii="Corbel" w:eastAsia="Times New Roman" w:hAnsi="Corbel" w:cs="Arial"/>
                <w:color w:val="000000"/>
                <w:sz w:val="20"/>
                <w:szCs w:val="20"/>
                <w:lang w:eastAsia="pl-PL"/>
              </w:rPr>
              <w:t>thous</w:t>
            </w:r>
            <w:proofErr w:type="spellEnd"/>
            <w:r w:rsidRPr="00E6181A">
              <w:rPr>
                <w:rFonts w:ascii="Corbel" w:eastAsia="Times New Roman" w:hAnsi="Corbel" w:cs="Arial"/>
                <w:color w:val="000000"/>
                <w:sz w:val="20"/>
                <w:szCs w:val="20"/>
                <w:lang w:eastAsia="pl-PL"/>
              </w:rPr>
              <w:t>.</w:t>
            </w:r>
          </w:p>
        </w:tc>
      </w:tr>
      <w:tr w:rsidR="00451674" w:rsidRPr="00E6181A" w:rsidTr="00571C5F">
        <w:trPr>
          <w:trHeight w:val="255"/>
        </w:trPr>
        <w:tc>
          <w:tcPr>
            <w:tcW w:w="1869" w:type="pct"/>
            <w:tcBorders>
              <w:left w:val="single" w:sz="18" w:space="0" w:color="00B050"/>
            </w:tcBorders>
            <w:noWrap/>
            <w:hideMark/>
          </w:tcPr>
          <w:p w:rsidR="00A56F2A" w:rsidRPr="00E6181A" w:rsidRDefault="00A56F2A" w:rsidP="009B0D0C">
            <w:pPr>
              <w:rPr>
                <w:rFonts w:ascii="Corbel" w:eastAsia="Times New Roman" w:hAnsi="Corbel" w:cs="Arial"/>
                <w:color w:val="000000"/>
                <w:sz w:val="20"/>
                <w:szCs w:val="20"/>
                <w:lang w:eastAsia="pl-PL"/>
              </w:rPr>
            </w:pPr>
            <w:r w:rsidRPr="00E6181A">
              <w:rPr>
                <w:rFonts w:ascii="Corbel" w:eastAsia="Times New Roman" w:hAnsi="Corbel" w:cs="Arial"/>
                <w:color w:val="000000"/>
                <w:sz w:val="20"/>
                <w:szCs w:val="20"/>
                <w:lang w:eastAsia="pl-PL"/>
              </w:rPr>
              <w:t>GDP [2014]</w:t>
            </w:r>
          </w:p>
        </w:tc>
        <w:tc>
          <w:tcPr>
            <w:tcW w:w="819" w:type="pct"/>
            <w:noWrap/>
          </w:tcPr>
          <w:p w:rsidR="00A56F2A" w:rsidRPr="00E6181A" w:rsidRDefault="00130863"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12042</w:t>
            </w:r>
          </w:p>
        </w:tc>
        <w:tc>
          <w:tcPr>
            <w:tcW w:w="826" w:type="pct"/>
            <w:noWrap/>
          </w:tcPr>
          <w:p w:rsidR="00A56F2A" w:rsidRPr="00E6181A" w:rsidRDefault="00130863"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36693</w:t>
            </w:r>
          </w:p>
        </w:tc>
        <w:tc>
          <w:tcPr>
            <w:tcW w:w="744" w:type="pct"/>
            <w:noWrap/>
          </w:tcPr>
          <w:p w:rsidR="00A56F2A" w:rsidRPr="00E6181A" w:rsidRDefault="00130863"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662770</w:t>
            </w:r>
          </w:p>
        </w:tc>
        <w:tc>
          <w:tcPr>
            <w:tcW w:w="742" w:type="pct"/>
            <w:tcBorders>
              <w:right w:val="single" w:sz="18" w:space="0" w:color="00B050"/>
            </w:tcBorders>
            <w:noWrap/>
            <w:hideMark/>
          </w:tcPr>
          <w:p w:rsidR="00A56F2A" w:rsidRPr="00E6181A" w:rsidRDefault="00A56F2A" w:rsidP="00A56F2A">
            <w:pPr>
              <w:rPr>
                <w:rFonts w:ascii="Corbel" w:eastAsia="Times New Roman" w:hAnsi="Corbel" w:cs="Arial"/>
                <w:color w:val="000000"/>
                <w:sz w:val="20"/>
                <w:szCs w:val="20"/>
                <w:lang w:eastAsia="pl-PL"/>
              </w:rPr>
            </w:pPr>
            <w:r w:rsidRPr="00E6181A">
              <w:rPr>
                <w:rFonts w:ascii="Corbel" w:eastAsia="Times New Roman" w:hAnsi="Corbel" w:cs="Arial"/>
                <w:color w:val="000000"/>
                <w:sz w:val="20"/>
                <w:szCs w:val="20"/>
                <w:lang w:eastAsia="pl-PL"/>
              </w:rPr>
              <w:t>mln EUR</w:t>
            </w:r>
          </w:p>
        </w:tc>
      </w:tr>
      <w:tr w:rsidR="00BA7E8E" w:rsidRPr="00E6181A" w:rsidTr="0003713C">
        <w:trPr>
          <w:trHeight w:val="255"/>
        </w:trPr>
        <w:tc>
          <w:tcPr>
            <w:tcW w:w="5000" w:type="pct"/>
            <w:gridSpan w:val="5"/>
            <w:tcBorders>
              <w:top w:val="single" w:sz="18" w:space="0" w:color="00B050"/>
              <w:left w:val="single" w:sz="18" w:space="0" w:color="00B050"/>
              <w:right w:val="single" w:sz="18" w:space="0" w:color="00B050"/>
            </w:tcBorders>
            <w:shd w:val="clear" w:color="auto" w:fill="EAF1DD" w:themeFill="accent3" w:themeFillTint="33"/>
            <w:noWrap/>
            <w:hideMark/>
          </w:tcPr>
          <w:p w:rsidR="00BA7E8E" w:rsidRPr="00E6181A" w:rsidRDefault="00BA7E8E" w:rsidP="00127195">
            <w:pPr>
              <w:rPr>
                <w:rFonts w:ascii="Corbel" w:eastAsia="Times New Roman" w:hAnsi="Corbel" w:cs="Arial"/>
                <w:b/>
                <w:i/>
                <w:color w:val="000000"/>
                <w:sz w:val="20"/>
                <w:szCs w:val="20"/>
                <w:lang w:eastAsia="pl-PL"/>
              </w:rPr>
            </w:pPr>
            <w:r w:rsidRPr="00E6181A">
              <w:rPr>
                <w:rFonts w:ascii="Corbel" w:eastAsia="Times New Roman" w:hAnsi="Corbel" w:cs="Arial"/>
                <w:b/>
                <w:i/>
                <w:color w:val="4F6228" w:themeColor="accent3" w:themeShade="80"/>
                <w:sz w:val="20"/>
                <w:szCs w:val="20"/>
                <w:lang w:eastAsia="pl-PL"/>
              </w:rPr>
              <w:t xml:space="preserve">Total </w:t>
            </w:r>
            <w:proofErr w:type="spellStart"/>
            <w:r w:rsidRPr="00E6181A">
              <w:rPr>
                <w:rFonts w:ascii="Corbel" w:eastAsia="Times New Roman" w:hAnsi="Corbel" w:cs="Arial"/>
                <w:b/>
                <w:i/>
                <w:color w:val="4F6228" w:themeColor="accent3" w:themeShade="80"/>
                <w:sz w:val="20"/>
                <w:szCs w:val="20"/>
                <w:lang w:eastAsia="pl-PL"/>
              </w:rPr>
              <w:t>allocation</w:t>
            </w:r>
            <w:proofErr w:type="spellEnd"/>
          </w:p>
        </w:tc>
      </w:tr>
      <w:tr w:rsidR="00451674" w:rsidRPr="00E6181A" w:rsidTr="00571C5F">
        <w:trPr>
          <w:trHeight w:val="255"/>
        </w:trPr>
        <w:tc>
          <w:tcPr>
            <w:tcW w:w="1869" w:type="pct"/>
            <w:tcBorders>
              <w:left w:val="single" w:sz="18" w:space="0" w:color="00B050"/>
            </w:tcBorders>
            <w:noWrap/>
            <w:hideMark/>
          </w:tcPr>
          <w:p w:rsidR="00A56F2A" w:rsidRPr="00E6181A" w:rsidRDefault="00127195" w:rsidP="00A56F2A">
            <w:pPr>
              <w:rPr>
                <w:rFonts w:ascii="Corbel" w:eastAsia="Times New Roman" w:hAnsi="Corbel" w:cs="Arial"/>
                <w:color w:val="000000"/>
                <w:sz w:val="20"/>
                <w:szCs w:val="20"/>
                <w:lang w:eastAsia="pl-PL"/>
              </w:rPr>
            </w:pPr>
            <w:proofErr w:type="spellStart"/>
            <w:r w:rsidRPr="00E6181A">
              <w:rPr>
                <w:rFonts w:ascii="Corbel" w:eastAsia="Times New Roman" w:hAnsi="Corbel" w:cs="Arial"/>
                <w:color w:val="000000"/>
                <w:sz w:val="20"/>
                <w:szCs w:val="20"/>
                <w:lang w:eastAsia="pl-PL"/>
              </w:rPr>
              <w:t>A</w:t>
            </w:r>
            <w:r w:rsidR="00A56F2A" w:rsidRPr="00E6181A">
              <w:rPr>
                <w:rFonts w:ascii="Corbel" w:eastAsia="Times New Roman" w:hAnsi="Corbel" w:cs="Arial"/>
                <w:color w:val="000000"/>
                <w:sz w:val="20"/>
                <w:szCs w:val="20"/>
                <w:lang w:eastAsia="pl-PL"/>
              </w:rPr>
              <w:t>llocation</w:t>
            </w:r>
            <w:proofErr w:type="spellEnd"/>
            <w:r w:rsidR="00A56F2A" w:rsidRPr="00E6181A">
              <w:rPr>
                <w:rFonts w:ascii="Corbel" w:eastAsia="Times New Roman" w:hAnsi="Corbel" w:cs="Arial"/>
                <w:color w:val="000000"/>
                <w:sz w:val="20"/>
                <w:szCs w:val="20"/>
                <w:lang w:eastAsia="pl-PL"/>
              </w:rPr>
              <w:t xml:space="preserve"> </w:t>
            </w:r>
            <w:r w:rsidRPr="00E6181A">
              <w:rPr>
                <w:rFonts w:ascii="Corbel" w:eastAsia="Times New Roman" w:hAnsi="Corbel" w:cs="Arial"/>
                <w:color w:val="000000"/>
                <w:sz w:val="20"/>
                <w:szCs w:val="20"/>
                <w:lang w:eastAsia="pl-PL"/>
              </w:rPr>
              <w:t xml:space="preserve">ERDF+CF </w:t>
            </w:r>
            <w:r w:rsidR="009B0D0C">
              <w:rPr>
                <w:rFonts w:ascii="Corbel" w:eastAsia="Times New Roman" w:hAnsi="Corbel" w:cs="Arial"/>
                <w:color w:val="000000"/>
                <w:sz w:val="20"/>
                <w:szCs w:val="20"/>
                <w:lang w:eastAsia="pl-PL"/>
              </w:rPr>
              <w:t>[</w:t>
            </w:r>
            <w:r w:rsidR="00A56F2A" w:rsidRPr="00E6181A">
              <w:rPr>
                <w:rFonts w:ascii="Corbel" w:eastAsia="Times New Roman" w:hAnsi="Corbel" w:cs="Arial"/>
                <w:color w:val="000000"/>
                <w:sz w:val="20"/>
                <w:szCs w:val="20"/>
                <w:lang w:eastAsia="pl-PL"/>
              </w:rPr>
              <w:t>2000-2006</w:t>
            </w:r>
            <w:r w:rsidR="009B0D0C">
              <w:rPr>
                <w:rFonts w:ascii="Corbel" w:eastAsia="Times New Roman" w:hAnsi="Corbel" w:cs="Arial"/>
                <w:color w:val="000000"/>
                <w:sz w:val="20"/>
                <w:szCs w:val="20"/>
                <w:lang w:eastAsia="pl-PL"/>
              </w:rPr>
              <w:t>]</w:t>
            </w:r>
          </w:p>
        </w:tc>
        <w:tc>
          <w:tcPr>
            <w:tcW w:w="819" w:type="pct"/>
            <w:noWrap/>
          </w:tcPr>
          <w:p w:rsidR="00A56F2A" w:rsidRPr="00E6181A" w:rsidRDefault="00130863"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81.7</w:t>
            </w:r>
          </w:p>
        </w:tc>
        <w:tc>
          <w:tcPr>
            <w:tcW w:w="826" w:type="pct"/>
            <w:noWrap/>
          </w:tcPr>
          <w:p w:rsidR="00A56F2A" w:rsidRPr="00E6181A" w:rsidRDefault="00130863"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31.6</w:t>
            </w:r>
          </w:p>
        </w:tc>
        <w:tc>
          <w:tcPr>
            <w:tcW w:w="744" w:type="pct"/>
            <w:noWrap/>
          </w:tcPr>
          <w:p w:rsidR="00A56F2A" w:rsidRPr="00E6181A" w:rsidRDefault="00130863"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806.7</w:t>
            </w:r>
          </w:p>
        </w:tc>
        <w:tc>
          <w:tcPr>
            <w:tcW w:w="742" w:type="pct"/>
            <w:tcBorders>
              <w:right w:val="single" w:sz="18" w:space="0" w:color="00B050"/>
            </w:tcBorders>
            <w:noWrap/>
            <w:hideMark/>
          </w:tcPr>
          <w:p w:rsidR="00A56F2A" w:rsidRPr="00E6181A" w:rsidRDefault="00A56F2A" w:rsidP="00A56F2A">
            <w:pPr>
              <w:rPr>
                <w:rFonts w:ascii="Corbel" w:eastAsia="Times New Roman" w:hAnsi="Corbel" w:cs="Arial"/>
                <w:color w:val="000000"/>
                <w:sz w:val="20"/>
                <w:szCs w:val="20"/>
                <w:lang w:eastAsia="pl-PL"/>
              </w:rPr>
            </w:pPr>
            <w:r w:rsidRPr="00E6181A">
              <w:rPr>
                <w:rFonts w:ascii="Corbel" w:eastAsia="Times New Roman" w:hAnsi="Corbel" w:cs="Arial"/>
                <w:color w:val="000000"/>
                <w:sz w:val="20"/>
                <w:szCs w:val="20"/>
                <w:lang w:eastAsia="pl-PL"/>
              </w:rPr>
              <w:t>mln EUR</w:t>
            </w:r>
          </w:p>
        </w:tc>
      </w:tr>
      <w:tr w:rsidR="00451674" w:rsidRPr="00E6181A" w:rsidTr="00571C5F">
        <w:trPr>
          <w:trHeight w:val="201"/>
        </w:trPr>
        <w:tc>
          <w:tcPr>
            <w:tcW w:w="1869" w:type="pct"/>
            <w:tcBorders>
              <w:left w:val="single" w:sz="18" w:space="0" w:color="00B050"/>
            </w:tcBorders>
            <w:noWrap/>
            <w:hideMark/>
          </w:tcPr>
          <w:p w:rsidR="00A56F2A" w:rsidRPr="00E6181A" w:rsidRDefault="00127195" w:rsidP="00A56F2A">
            <w:pPr>
              <w:rPr>
                <w:rFonts w:ascii="Corbel" w:eastAsia="Times New Roman" w:hAnsi="Corbel" w:cs="Arial"/>
                <w:color w:val="000000"/>
                <w:sz w:val="20"/>
                <w:szCs w:val="20"/>
                <w:lang w:eastAsia="pl-PL"/>
              </w:rPr>
            </w:pPr>
            <w:proofErr w:type="spellStart"/>
            <w:r w:rsidRPr="00E6181A">
              <w:rPr>
                <w:rFonts w:ascii="Corbel" w:eastAsia="Times New Roman" w:hAnsi="Corbel" w:cs="Arial"/>
                <w:color w:val="000000"/>
                <w:sz w:val="20"/>
                <w:szCs w:val="20"/>
                <w:lang w:eastAsia="pl-PL"/>
              </w:rPr>
              <w:t>A</w:t>
            </w:r>
            <w:r w:rsidR="00A56F2A" w:rsidRPr="00E6181A">
              <w:rPr>
                <w:rFonts w:ascii="Corbel" w:eastAsia="Times New Roman" w:hAnsi="Corbel" w:cs="Arial"/>
                <w:color w:val="000000"/>
                <w:sz w:val="20"/>
                <w:szCs w:val="20"/>
                <w:lang w:eastAsia="pl-PL"/>
              </w:rPr>
              <w:t>llocation</w:t>
            </w:r>
            <w:proofErr w:type="spellEnd"/>
            <w:r w:rsidR="00A56F2A" w:rsidRPr="00E6181A">
              <w:rPr>
                <w:rFonts w:ascii="Corbel" w:eastAsia="Times New Roman" w:hAnsi="Corbel" w:cs="Arial"/>
                <w:color w:val="000000"/>
                <w:sz w:val="20"/>
                <w:szCs w:val="20"/>
                <w:lang w:eastAsia="pl-PL"/>
              </w:rPr>
              <w:t xml:space="preserve"> </w:t>
            </w:r>
            <w:r w:rsidRPr="00E6181A">
              <w:rPr>
                <w:rFonts w:ascii="Corbel" w:eastAsia="Times New Roman" w:hAnsi="Corbel" w:cs="Arial"/>
                <w:color w:val="000000"/>
                <w:sz w:val="20"/>
                <w:szCs w:val="20"/>
                <w:lang w:eastAsia="pl-PL"/>
              </w:rPr>
              <w:t xml:space="preserve">ERDF+CF </w:t>
            </w:r>
            <w:r w:rsidR="00A56F2A" w:rsidRPr="00E6181A">
              <w:rPr>
                <w:rFonts w:ascii="Corbel" w:eastAsia="Times New Roman" w:hAnsi="Corbel" w:cs="Arial"/>
                <w:color w:val="000000"/>
                <w:sz w:val="20"/>
                <w:szCs w:val="20"/>
                <w:lang w:eastAsia="pl-PL"/>
              </w:rPr>
              <w:t>2007-2013</w:t>
            </w:r>
          </w:p>
        </w:tc>
        <w:tc>
          <w:tcPr>
            <w:tcW w:w="819" w:type="pct"/>
            <w:noWrap/>
          </w:tcPr>
          <w:p w:rsidR="00A56F2A" w:rsidRPr="00E6181A" w:rsidRDefault="00130863"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32.3</w:t>
            </w:r>
          </w:p>
        </w:tc>
        <w:tc>
          <w:tcPr>
            <w:tcW w:w="826" w:type="pct"/>
            <w:noWrap/>
          </w:tcPr>
          <w:p w:rsidR="00A56F2A" w:rsidRPr="00E6181A" w:rsidRDefault="00130863"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95.6</w:t>
            </w:r>
          </w:p>
        </w:tc>
        <w:tc>
          <w:tcPr>
            <w:tcW w:w="744" w:type="pct"/>
            <w:noWrap/>
          </w:tcPr>
          <w:p w:rsidR="00A56F2A" w:rsidRPr="00E6181A" w:rsidRDefault="00130863"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1052.6</w:t>
            </w:r>
          </w:p>
        </w:tc>
        <w:tc>
          <w:tcPr>
            <w:tcW w:w="742" w:type="pct"/>
            <w:tcBorders>
              <w:right w:val="single" w:sz="18" w:space="0" w:color="00B050"/>
            </w:tcBorders>
            <w:noWrap/>
            <w:hideMark/>
          </w:tcPr>
          <w:p w:rsidR="00A56F2A" w:rsidRPr="00E6181A" w:rsidRDefault="00A56F2A" w:rsidP="00A56F2A">
            <w:pPr>
              <w:rPr>
                <w:rFonts w:ascii="Corbel" w:eastAsia="Times New Roman" w:hAnsi="Corbel" w:cs="Arial"/>
                <w:color w:val="000000"/>
                <w:sz w:val="20"/>
                <w:szCs w:val="20"/>
                <w:lang w:eastAsia="pl-PL"/>
              </w:rPr>
            </w:pPr>
            <w:r w:rsidRPr="00E6181A">
              <w:rPr>
                <w:rFonts w:ascii="Corbel" w:eastAsia="Times New Roman" w:hAnsi="Corbel" w:cs="Arial"/>
                <w:color w:val="000000"/>
                <w:sz w:val="20"/>
                <w:szCs w:val="20"/>
                <w:lang w:eastAsia="pl-PL"/>
              </w:rPr>
              <w:t>mln EUR</w:t>
            </w:r>
          </w:p>
        </w:tc>
      </w:tr>
      <w:tr w:rsidR="00451674" w:rsidRPr="00E6181A" w:rsidTr="00571C5F">
        <w:trPr>
          <w:trHeight w:val="255"/>
        </w:trPr>
        <w:tc>
          <w:tcPr>
            <w:tcW w:w="1869" w:type="pct"/>
            <w:tcBorders>
              <w:left w:val="single" w:sz="18" w:space="0" w:color="00B050"/>
            </w:tcBorders>
            <w:noWrap/>
            <w:hideMark/>
          </w:tcPr>
          <w:p w:rsidR="00A56F2A" w:rsidRPr="00E6181A" w:rsidRDefault="00F85BAD" w:rsidP="00F85BAD">
            <w:pPr>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Ratio</w:t>
            </w:r>
            <w:r w:rsidR="00AD5513" w:rsidRPr="00E6181A">
              <w:rPr>
                <w:rFonts w:ascii="Corbel" w:eastAsia="Times New Roman" w:hAnsi="Corbel" w:cs="Arial"/>
                <w:color w:val="000000"/>
                <w:sz w:val="20"/>
                <w:szCs w:val="20"/>
                <w:lang w:eastAsia="pl-PL"/>
              </w:rPr>
              <w:t xml:space="preserve"> [</w:t>
            </w:r>
            <w:r w:rsidR="009B0D0C">
              <w:rPr>
                <w:rFonts w:ascii="Corbel" w:eastAsia="Times New Roman" w:hAnsi="Corbel" w:cs="Arial"/>
                <w:color w:val="000000"/>
                <w:sz w:val="20"/>
                <w:szCs w:val="20"/>
                <w:lang w:eastAsia="pl-PL"/>
              </w:rPr>
              <w:t xml:space="preserve">period </w:t>
            </w:r>
            <w:r>
              <w:rPr>
                <w:rFonts w:ascii="Corbel" w:eastAsia="Times New Roman" w:hAnsi="Corbel" w:cs="Arial"/>
                <w:color w:val="000000"/>
                <w:sz w:val="20"/>
                <w:szCs w:val="20"/>
                <w:lang w:eastAsia="pl-PL"/>
              </w:rPr>
              <w:t xml:space="preserve">2007-2013 to </w:t>
            </w:r>
            <w:r w:rsidR="00AD5513" w:rsidRPr="00E6181A">
              <w:rPr>
                <w:rFonts w:ascii="Corbel" w:eastAsia="Times New Roman" w:hAnsi="Corbel" w:cs="Arial"/>
                <w:color w:val="000000"/>
                <w:sz w:val="20"/>
                <w:szCs w:val="20"/>
                <w:lang w:eastAsia="pl-PL"/>
              </w:rPr>
              <w:t>2000-2006]</w:t>
            </w:r>
          </w:p>
        </w:tc>
        <w:tc>
          <w:tcPr>
            <w:tcW w:w="819" w:type="pct"/>
            <w:noWrap/>
          </w:tcPr>
          <w:p w:rsidR="00A56F2A" w:rsidRPr="00E6181A" w:rsidRDefault="00130863"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0.40</w:t>
            </w:r>
          </w:p>
        </w:tc>
        <w:tc>
          <w:tcPr>
            <w:tcW w:w="826" w:type="pct"/>
            <w:noWrap/>
          </w:tcPr>
          <w:p w:rsidR="00A56F2A" w:rsidRPr="00E6181A" w:rsidRDefault="00130863"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3.03</w:t>
            </w:r>
          </w:p>
        </w:tc>
        <w:tc>
          <w:tcPr>
            <w:tcW w:w="744" w:type="pct"/>
            <w:noWrap/>
          </w:tcPr>
          <w:p w:rsidR="00A56F2A" w:rsidRPr="00E6181A" w:rsidRDefault="00130863"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1.30</w:t>
            </w:r>
          </w:p>
        </w:tc>
        <w:tc>
          <w:tcPr>
            <w:tcW w:w="742" w:type="pct"/>
            <w:tcBorders>
              <w:right w:val="single" w:sz="18" w:space="0" w:color="00B050"/>
            </w:tcBorders>
            <w:noWrap/>
            <w:hideMark/>
          </w:tcPr>
          <w:p w:rsidR="00A56F2A" w:rsidRPr="00E6181A" w:rsidRDefault="00BA7E8E" w:rsidP="00A56F2A">
            <w:pPr>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ratio</w:t>
            </w:r>
          </w:p>
        </w:tc>
      </w:tr>
      <w:tr w:rsidR="00BA7E8E" w:rsidRPr="00E6181A" w:rsidTr="0003713C">
        <w:trPr>
          <w:trHeight w:val="255"/>
        </w:trPr>
        <w:tc>
          <w:tcPr>
            <w:tcW w:w="5000" w:type="pct"/>
            <w:gridSpan w:val="5"/>
            <w:tcBorders>
              <w:top w:val="single" w:sz="18" w:space="0" w:color="00B050"/>
              <w:left w:val="single" w:sz="18" w:space="0" w:color="00B050"/>
              <w:right w:val="single" w:sz="18" w:space="0" w:color="00B050"/>
            </w:tcBorders>
            <w:shd w:val="clear" w:color="auto" w:fill="EAF1DD" w:themeFill="accent3" w:themeFillTint="33"/>
            <w:noWrap/>
            <w:hideMark/>
          </w:tcPr>
          <w:p w:rsidR="00BA7E8E" w:rsidRPr="00E6181A" w:rsidRDefault="00BA7E8E" w:rsidP="00127195">
            <w:pPr>
              <w:rPr>
                <w:rFonts w:ascii="Corbel" w:eastAsia="Times New Roman" w:hAnsi="Corbel" w:cs="Arial"/>
                <w:b/>
                <w:i/>
                <w:color w:val="000000"/>
                <w:sz w:val="20"/>
                <w:szCs w:val="20"/>
                <w:lang w:eastAsia="pl-PL"/>
              </w:rPr>
            </w:pPr>
            <w:proofErr w:type="spellStart"/>
            <w:r w:rsidRPr="00E6181A">
              <w:rPr>
                <w:rFonts w:ascii="Corbel" w:eastAsia="Times New Roman" w:hAnsi="Corbel" w:cs="Arial"/>
                <w:b/>
                <w:i/>
                <w:color w:val="4F6228" w:themeColor="accent3" w:themeShade="80"/>
                <w:sz w:val="20"/>
                <w:szCs w:val="20"/>
                <w:lang w:eastAsia="pl-PL"/>
              </w:rPr>
              <w:t>Absorption</w:t>
            </w:r>
            <w:proofErr w:type="spellEnd"/>
            <w:r w:rsidRPr="00E6181A">
              <w:rPr>
                <w:rFonts w:ascii="Corbel" w:eastAsia="Times New Roman" w:hAnsi="Corbel" w:cs="Arial"/>
                <w:b/>
                <w:i/>
                <w:color w:val="4F6228" w:themeColor="accent3" w:themeShade="80"/>
                <w:sz w:val="20"/>
                <w:szCs w:val="20"/>
                <w:lang w:eastAsia="pl-PL"/>
              </w:rPr>
              <w:t xml:space="preserve"> </w:t>
            </w:r>
            <w:proofErr w:type="spellStart"/>
            <w:r w:rsidRPr="00E6181A">
              <w:rPr>
                <w:rFonts w:ascii="Corbel" w:eastAsia="Times New Roman" w:hAnsi="Corbel" w:cs="Arial"/>
                <w:b/>
                <w:i/>
                <w:color w:val="4F6228" w:themeColor="accent3" w:themeShade="80"/>
                <w:sz w:val="20"/>
                <w:szCs w:val="20"/>
                <w:lang w:eastAsia="pl-PL"/>
              </w:rPr>
              <w:t>rates</w:t>
            </w:r>
            <w:proofErr w:type="spellEnd"/>
            <w:r w:rsidR="00412E25">
              <w:rPr>
                <w:rFonts w:ascii="Corbel" w:eastAsia="Times New Roman" w:hAnsi="Corbel" w:cs="Arial"/>
                <w:b/>
                <w:i/>
                <w:color w:val="4F6228" w:themeColor="accent3" w:themeShade="80"/>
                <w:sz w:val="20"/>
                <w:szCs w:val="20"/>
              </w:rPr>
              <w:t xml:space="preserve"> </w:t>
            </w:r>
            <w:r w:rsidR="00412E25">
              <w:rPr>
                <w:rFonts w:ascii="Corbel" w:eastAsia="Times New Roman" w:hAnsi="Corbel" w:cs="Arial"/>
                <w:b/>
                <w:i/>
                <w:color w:val="4F6228" w:themeColor="accent3" w:themeShade="80"/>
                <w:sz w:val="20"/>
                <w:szCs w:val="20"/>
              </w:rPr>
              <w:t>ERDF+CF</w:t>
            </w:r>
          </w:p>
        </w:tc>
      </w:tr>
      <w:tr w:rsidR="00451674" w:rsidRPr="00E6181A" w:rsidTr="00571C5F">
        <w:trPr>
          <w:trHeight w:val="255"/>
        </w:trPr>
        <w:tc>
          <w:tcPr>
            <w:tcW w:w="1869" w:type="pct"/>
            <w:tcBorders>
              <w:left w:val="single" w:sz="18" w:space="0" w:color="00B050"/>
            </w:tcBorders>
            <w:noWrap/>
            <w:hideMark/>
          </w:tcPr>
          <w:p w:rsidR="00A56F2A" w:rsidRPr="00E6181A" w:rsidRDefault="00127195" w:rsidP="009B0D0C">
            <w:pPr>
              <w:rPr>
                <w:rFonts w:ascii="Corbel" w:eastAsia="Times New Roman" w:hAnsi="Corbel" w:cs="Arial"/>
                <w:color w:val="000000"/>
                <w:sz w:val="20"/>
                <w:szCs w:val="20"/>
                <w:lang w:eastAsia="pl-PL"/>
              </w:rPr>
            </w:pPr>
            <w:proofErr w:type="spellStart"/>
            <w:r w:rsidRPr="00E6181A">
              <w:rPr>
                <w:rFonts w:ascii="Corbel" w:eastAsia="Times New Roman" w:hAnsi="Corbel" w:cs="Arial"/>
                <w:color w:val="000000"/>
                <w:sz w:val="20"/>
                <w:szCs w:val="20"/>
                <w:lang w:eastAsia="pl-PL"/>
              </w:rPr>
              <w:t>A</w:t>
            </w:r>
            <w:r w:rsidR="00A56F2A" w:rsidRPr="00E6181A">
              <w:rPr>
                <w:rFonts w:ascii="Corbel" w:eastAsia="Times New Roman" w:hAnsi="Corbel" w:cs="Arial"/>
                <w:color w:val="000000"/>
                <w:sz w:val="20"/>
                <w:szCs w:val="20"/>
                <w:lang w:eastAsia="pl-PL"/>
              </w:rPr>
              <w:t>bsorption</w:t>
            </w:r>
            <w:proofErr w:type="spellEnd"/>
            <w:r w:rsidR="00A56F2A" w:rsidRPr="00E6181A">
              <w:rPr>
                <w:rFonts w:ascii="Corbel" w:eastAsia="Times New Roman" w:hAnsi="Corbel" w:cs="Arial"/>
                <w:color w:val="000000"/>
                <w:sz w:val="20"/>
                <w:szCs w:val="20"/>
                <w:lang w:eastAsia="pl-PL"/>
              </w:rPr>
              <w:t xml:space="preserve"> </w:t>
            </w:r>
            <w:proofErr w:type="spellStart"/>
            <w:r w:rsidR="00A56F2A" w:rsidRPr="00E6181A">
              <w:rPr>
                <w:rFonts w:ascii="Corbel" w:eastAsia="Times New Roman" w:hAnsi="Corbel" w:cs="Arial"/>
                <w:color w:val="000000"/>
                <w:sz w:val="20"/>
                <w:szCs w:val="20"/>
                <w:lang w:eastAsia="pl-PL"/>
              </w:rPr>
              <w:t>rate</w:t>
            </w:r>
            <w:proofErr w:type="spellEnd"/>
            <w:r w:rsidR="00A56F2A" w:rsidRPr="00E6181A">
              <w:rPr>
                <w:rFonts w:ascii="Corbel" w:eastAsia="Times New Roman" w:hAnsi="Corbel" w:cs="Arial"/>
                <w:color w:val="000000"/>
                <w:sz w:val="20"/>
                <w:szCs w:val="20"/>
                <w:lang w:eastAsia="pl-PL"/>
              </w:rPr>
              <w:t xml:space="preserve"> 2000-2006</w:t>
            </w:r>
            <w:r w:rsidR="00412E25">
              <w:rPr>
                <w:rFonts w:ascii="Corbel" w:eastAsia="Times New Roman" w:hAnsi="Corbel" w:cs="Arial"/>
                <w:color w:val="000000"/>
                <w:sz w:val="20"/>
                <w:szCs w:val="20"/>
                <w:lang w:eastAsia="pl-PL"/>
              </w:rPr>
              <w:t xml:space="preserve"> [</w:t>
            </w:r>
            <w:proofErr w:type="spellStart"/>
            <w:r w:rsidR="00412E25">
              <w:rPr>
                <w:rFonts w:ascii="Corbel" w:eastAsia="Times New Roman" w:hAnsi="Corbel" w:cs="Arial"/>
                <w:color w:val="000000"/>
                <w:sz w:val="20"/>
                <w:szCs w:val="20"/>
                <w:lang w:eastAsia="pl-PL"/>
              </w:rPr>
              <w:t>final</w:t>
            </w:r>
            <w:proofErr w:type="spellEnd"/>
            <w:r w:rsidR="00412E25">
              <w:rPr>
                <w:rFonts w:ascii="Corbel" w:eastAsia="Times New Roman" w:hAnsi="Corbel" w:cs="Arial"/>
                <w:color w:val="000000"/>
                <w:sz w:val="20"/>
                <w:szCs w:val="20"/>
                <w:lang w:eastAsia="pl-PL"/>
              </w:rPr>
              <w:t>]</w:t>
            </w:r>
          </w:p>
        </w:tc>
        <w:tc>
          <w:tcPr>
            <w:tcW w:w="819" w:type="pct"/>
            <w:noWrap/>
          </w:tcPr>
          <w:p w:rsidR="00A56F2A" w:rsidRPr="00E6181A" w:rsidRDefault="00130863" w:rsidP="00BA7E8E">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100</w:t>
            </w:r>
          </w:p>
        </w:tc>
        <w:tc>
          <w:tcPr>
            <w:tcW w:w="826" w:type="pct"/>
            <w:noWrap/>
          </w:tcPr>
          <w:p w:rsidR="00A56F2A" w:rsidRPr="00E6181A" w:rsidRDefault="00130863"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100</w:t>
            </w:r>
          </w:p>
        </w:tc>
        <w:tc>
          <w:tcPr>
            <w:tcW w:w="744" w:type="pct"/>
            <w:noWrap/>
          </w:tcPr>
          <w:p w:rsidR="00A56F2A" w:rsidRPr="00E6181A" w:rsidRDefault="00130863"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100</w:t>
            </w:r>
          </w:p>
        </w:tc>
        <w:tc>
          <w:tcPr>
            <w:tcW w:w="742" w:type="pct"/>
            <w:tcBorders>
              <w:right w:val="single" w:sz="18" w:space="0" w:color="00B050"/>
            </w:tcBorders>
            <w:noWrap/>
            <w:hideMark/>
          </w:tcPr>
          <w:p w:rsidR="00A56F2A" w:rsidRPr="00E6181A" w:rsidRDefault="00BA7E8E" w:rsidP="00A56F2A">
            <w:pPr>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per cent</w:t>
            </w:r>
          </w:p>
        </w:tc>
      </w:tr>
      <w:tr w:rsidR="00451674" w:rsidRPr="00E6181A" w:rsidTr="00571C5F">
        <w:trPr>
          <w:trHeight w:val="255"/>
        </w:trPr>
        <w:tc>
          <w:tcPr>
            <w:tcW w:w="1869" w:type="pct"/>
            <w:tcBorders>
              <w:left w:val="single" w:sz="18" w:space="0" w:color="00B050"/>
              <w:bottom w:val="single" w:sz="18" w:space="0" w:color="00B050"/>
            </w:tcBorders>
            <w:noWrap/>
            <w:hideMark/>
          </w:tcPr>
          <w:p w:rsidR="00A56F2A" w:rsidRPr="00E6181A" w:rsidRDefault="00127195" w:rsidP="009B0D0C">
            <w:pPr>
              <w:rPr>
                <w:rFonts w:ascii="Corbel" w:eastAsia="Times New Roman" w:hAnsi="Corbel" w:cs="Arial"/>
                <w:color w:val="000000"/>
                <w:sz w:val="20"/>
                <w:szCs w:val="20"/>
                <w:lang w:eastAsia="pl-PL"/>
              </w:rPr>
            </w:pPr>
            <w:proofErr w:type="spellStart"/>
            <w:r w:rsidRPr="00E6181A">
              <w:rPr>
                <w:rFonts w:ascii="Corbel" w:eastAsia="Times New Roman" w:hAnsi="Corbel" w:cs="Arial"/>
                <w:color w:val="000000"/>
                <w:sz w:val="20"/>
                <w:szCs w:val="20"/>
                <w:lang w:eastAsia="pl-PL"/>
              </w:rPr>
              <w:t>A</w:t>
            </w:r>
            <w:r w:rsidR="00A56F2A" w:rsidRPr="00E6181A">
              <w:rPr>
                <w:rFonts w:ascii="Corbel" w:eastAsia="Times New Roman" w:hAnsi="Corbel" w:cs="Arial"/>
                <w:color w:val="000000"/>
                <w:sz w:val="20"/>
                <w:szCs w:val="20"/>
                <w:lang w:eastAsia="pl-PL"/>
              </w:rPr>
              <w:t>bsorption</w:t>
            </w:r>
            <w:proofErr w:type="spellEnd"/>
            <w:r w:rsidR="00A56F2A" w:rsidRPr="00E6181A">
              <w:rPr>
                <w:rFonts w:ascii="Corbel" w:eastAsia="Times New Roman" w:hAnsi="Corbel" w:cs="Arial"/>
                <w:color w:val="000000"/>
                <w:sz w:val="20"/>
                <w:szCs w:val="20"/>
                <w:lang w:eastAsia="pl-PL"/>
              </w:rPr>
              <w:t xml:space="preserve"> </w:t>
            </w:r>
            <w:proofErr w:type="spellStart"/>
            <w:r w:rsidR="00A56F2A" w:rsidRPr="00E6181A">
              <w:rPr>
                <w:rFonts w:ascii="Corbel" w:eastAsia="Times New Roman" w:hAnsi="Corbel" w:cs="Arial"/>
                <w:color w:val="000000"/>
                <w:sz w:val="20"/>
                <w:szCs w:val="20"/>
                <w:lang w:eastAsia="pl-PL"/>
              </w:rPr>
              <w:t>rate</w:t>
            </w:r>
            <w:proofErr w:type="spellEnd"/>
            <w:r w:rsidR="00A56F2A" w:rsidRPr="00E6181A">
              <w:rPr>
                <w:rFonts w:ascii="Corbel" w:eastAsia="Times New Roman" w:hAnsi="Corbel" w:cs="Arial"/>
                <w:color w:val="000000"/>
                <w:sz w:val="20"/>
                <w:szCs w:val="20"/>
                <w:lang w:eastAsia="pl-PL"/>
              </w:rPr>
              <w:t xml:space="preserve"> 2007-2013 [</w:t>
            </w:r>
            <w:r w:rsidR="009B0D0C">
              <w:rPr>
                <w:rFonts w:ascii="Corbel" w:eastAsia="Times New Roman" w:hAnsi="Corbel" w:cs="Arial"/>
                <w:color w:val="000000"/>
                <w:sz w:val="20"/>
                <w:szCs w:val="20"/>
                <w:lang w:eastAsia="pl-PL"/>
              </w:rPr>
              <w:t xml:space="preserve">in </w:t>
            </w:r>
            <w:r w:rsidR="00A56F2A" w:rsidRPr="00E6181A">
              <w:rPr>
                <w:rFonts w:ascii="Corbel" w:eastAsia="Times New Roman" w:hAnsi="Corbel" w:cs="Arial"/>
                <w:color w:val="000000"/>
                <w:sz w:val="20"/>
                <w:szCs w:val="20"/>
                <w:lang w:eastAsia="pl-PL"/>
              </w:rPr>
              <w:t>2014]</w:t>
            </w:r>
          </w:p>
        </w:tc>
        <w:tc>
          <w:tcPr>
            <w:tcW w:w="819" w:type="pct"/>
            <w:tcBorders>
              <w:bottom w:val="single" w:sz="18" w:space="0" w:color="00B050"/>
            </w:tcBorders>
            <w:noWrap/>
          </w:tcPr>
          <w:p w:rsidR="00A56F2A" w:rsidRPr="00E6181A" w:rsidRDefault="00130863"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69.3</w:t>
            </w:r>
          </w:p>
        </w:tc>
        <w:tc>
          <w:tcPr>
            <w:tcW w:w="826" w:type="pct"/>
            <w:tcBorders>
              <w:bottom w:val="single" w:sz="18" w:space="0" w:color="00B050"/>
            </w:tcBorders>
            <w:noWrap/>
          </w:tcPr>
          <w:p w:rsidR="00A56F2A" w:rsidRPr="00E6181A" w:rsidRDefault="00130863"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96.2</w:t>
            </w:r>
          </w:p>
        </w:tc>
        <w:tc>
          <w:tcPr>
            <w:tcW w:w="744" w:type="pct"/>
            <w:tcBorders>
              <w:bottom w:val="single" w:sz="18" w:space="0" w:color="00B050"/>
            </w:tcBorders>
            <w:noWrap/>
          </w:tcPr>
          <w:p w:rsidR="00A56F2A" w:rsidRPr="00E6181A" w:rsidRDefault="00130863"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81.7</w:t>
            </w:r>
          </w:p>
        </w:tc>
        <w:tc>
          <w:tcPr>
            <w:tcW w:w="742" w:type="pct"/>
            <w:tcBorders>
              <w:bottom w:val="single" w:sz="18" w:space="0" w:color="00B050"/>
              <w:right w:val="single" w:sz="18" w:space="0" w:color="00B050"/>
            </w:tcBorders>
            <w:noWrap/>
            <w:hideMark/>
          </w:tcPr>
          <w:p w:rsidR="00A56F2A" w:rsidRPr="00E6181A" w:rsidRDefault="00BA7E8E" w:rsidP="00A56F2A">
            <w:pPr>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per cent</w:t>
            </w:r>
          </w:p>
        </w:tc>
      </w:tr>
    </w:tbl>
    <w:p w:rsidR="00571C5F" w:rsidRDefault="00571C5F" w:rsidP="003C750D">
      <w:pPr>
        <w:contextualSpacing/>
        <w:jc w:val="both"/>
        <w:rPr>
          <w:rFonts w:ascii="Corbel" w:eastAsia="MS Mincho" w:hAnsi="Corbel" w:cs="Times New Roman"/>
          <w:color w:val="404040"/>
          <w:sz w:val="24"/>
          <w:szCs w:val="24"/>
          <w:lang w:val="en-GB" w:eastAsia="ja-JP"/>
        </w:rPr>
      </w:pPr>
    </w:p>
    <w:p w:rsidR="00221148" w:rsidRDefault="002A3DCE" w:rsidP="003C750D">
      <w:pPr>
        <w:contextualSpacing/>
        <w:jc w:val="both"/>
        <w:rPr>
          <w:rFonts w:ascii="Corbel" w:eastAsia="MS Mincho" w:hAnsi="Corbel" w:cs="Times New Roman"/>
          <w:color w:val="404040"/>
          <w:sz w:val="24"/>
          <w:szCs w:val="24"/>
          <w:lang w:val="en-GB" w:eastAsia="ja-JP"/>
        </w:rPr>
      </w:pPr>
      <w:r>
        <w:rPr>
          <w:rFonts w:ascii="Corbel" w:eastAsia="MS Mincho" w:hAnsi="Corbel" w:cs="Times New Roman"/>
          <w:color w:val="404040"/>
          <w:sz w:val="24"/>
          <w:szCs w:val="24"/>
          <w:lang w:val="en-GB" w:eastAsia="ja-JP"/>
        </w:rPr>
        <w:t>Flevoland and Limburg are comparable with regard to both their GDP per capita and the total allocation of ERDF and CF funds in per capita terms in the 2007-2013 period</w:t>
      </w:r>
      <w:r w:rsidR="00412E25">
        <w:rPr>
          <w:rFonts w:ascii="Corbel" w:eastAsia="MS Mincho" w:hAnsi="Corbel" w:cs="Times New Roman"/>
          <w:color w:val="404040"/>
          <w:sz w:val="24"/>
          <w:szCs w:val="24"/>
          <w:lang w:val="en-GB" w:eastAsia="ja-JP"/>
        </w:rPr>
        <w:t xml:space="preserve"> (totalling around 85 EUR)</w:t>
      </w:r>
      <w:r>
        <w:rPr>
          <w:rFonts w:ascii="Corbel" w:eastAsia="MS Mincho" w:hAnsi="Corbel" w:cs="Times New Roman"/>
          <w:color w:val="404040"/>
          <w:sz w:val="24"/>
          <w:szCs w:val="24"/>
          <w:lang w:val="en-GB" w:eastAsia="ja-JP"/>
        </w:rPr>
        <w:t xml:space="preserve">. However, in the previous programming period the distribution of EU Structural Funds was </w:t>
      </w:r>
      <w:r w:rsidR="00840977">
        <w:rPr>
          <w:rFonts w:ascii="Corbel" w:eastAsia="MS Mincho" w:hAnsi="Corbel" w:cs="Times New Roman"/>
          <w:color w:val="404040"/>
          <w:sz w:val="24"/>
          <w:szCs w:val="24"/>
          <w:lang w:val="en-GB" w:eastAsia="ja-JP"/>
        </w:rPr>
        <w:t>considerably</w:t>
      </w:r>
      <w:r>
        <w:rPr>
          <w:rFonts w:ascii="Corbel" w:eastAsia="MS Mincho" w:hAnsi="Corbel" w:cs="Times New Roman"/>
          <w:color w:val="404040"/>
          <w:sz w:val="24"/>
          <w:szCs w:val="24"/>
          <w:lang w:val="en-GB" w:eastAsia="ja-JP"/>
        </w:rPr>
        <w:t xml:space="preserve"> different, due to the fact that Flevoland had been eligible for the transitional support under </w:t>
      </w:r>
      <w:r w:rsidR="00412E25">
        <w:rPr>
          <w:rFonts w:ascii="Corbel" w:eastAsia="MS Mincho" w:hAnsi="Corbel" w:cs="Times New Roman"/>
          <w:color w:val="404040"/>
          <w:sz w:val="24"/>
          <w:szCs w:val="24"/>
          <w:lang w:val="en-GB" w:eastAsia="ja-JP"/>
        </w:rPr>
        <w:t xml:space="preserve">the </w:t>
      </w:r>
      <w:r>
        <w:rPr>
          <w:rFonts w:ascii="Corbel" w:eastAsia="MS Mincho" w:hAnsi="Corbel" w:cs="Times New Roman"/>
          <w:color w:val="404040"/>
          <w:sz w:val="24"/>
          <w:szCs w:val="24"/>
          <w:lang w:val="en-GB" w:eastAsia="ja-JP"/>
        </w:rPr>
        <w:t xml:space="preserve">Objective 1. </w:t>
      </w:r>
      <w:r w:rsidR="00840977">
        <w:rPr>
          <w:rFonts w:ascii="Corbel" w:eastAsia="MS Mincho" w:hAnsi="Corbel" w:cs="Times New Roman"/>
          <w:color w:val="404040"/>
          <w:sz w:val="24"/>
          <w:szCs w:val="24"/>
          <w:lang w:val="en-GB" w:eastAsia="ja-JP"/>
        </w:rPr>
        <w:t>After this support ceased, in the</w:t>
      </w:r>
      <w:r w:rsidR="00412E25">
        <w:rPr>
          <w:rFonts w:ascii="Corbel" w:eastAsia="MS Mincho" w:hAnsi="Corbel" w:cs="Times New Roman"/>
          <w:color w:val="404040"/>
          <w:sz w:val="24"/>
          <w:szCs w:val="24"/>
          <w:lang w:val="en-GB" w:eastAsia="ja-JP"/>
        </w:rPr>
        <w:t xml:space="preserve"> course of</w:t>
      </w:r>
      <w:r w:rsidR="00840977">
        <w:rPr>
          <w:rFonts w:ascii="Corbel" w:eastAsia="MS Mincho" w:hAnsi="Corbel" w:cs="Times New Roman"/>
          <w:color w:val="404040"/>
          <w:sz w:val="24"/>
          <w:szCs w:val="24"/>
          <w:lang w:val="en-GB" w:eastAsia="ja-JP"/>
        </w:rPr>
        <w:t xml:space="preserve"> programming period 2007-2013, the total allocations for Flevoland decreased by 60%, while Limburg experienced a threefold increase of its allocations. Absorption rates for this period also significantly vary, with Flevoland lagging behind Limburg by 27 pp..</w:t>
      </w:r>
    </w:p>
    <w:p w:rsidR="002A3DCE" w:rsidRPr="009B0D0C" w:rsidRDefault="002A3DCE" w:rsidP="003C750D">
      <w:pPr>
        <w:contextualSpacing/>
        <w:jc w:val="both"/>
        <w:rPr>
          <w:rFonts w:ascii="Corbel" w:eastAsia="MS Mincho" w:hAnsi="Corbel" w:cs="Times New Roman"/>
          <w:color w:val="404040"/>
          <w:sz w:val="24"/>
          <w:szCs w:val="24"/>
          <w:lang w:val="en-GB" w:eastAsia="ja-JP"/>
        </w:rPr>
      </w:pPr>
    </w:p>
    <w:tbl>
      <w:tblPr>
        <w:tblStyle w:val="Tabela-Siatka"/>
        <w:tblW w:w="5000" w:type="pct"/>
        <w:tblLayout w:type="fixed"/>
        <w:tblCellMar>
          <w:top w:w="28" w:type="dxa"/>
          <w:left w:w="85" w:type="dxa"/>
          <w:bottom w:w="28" w:type="dxa"/>
          <w:right w:w="85" w:type="dxa"/>
        </w:tblCellMar>
        <w:tblLook w:val="04A0" w:firstRow="1" w:lastRow="0" w:firstColumn="1" w:lastColumn="0" w:noHBand="0" w:noVBand="1"/>
      </w:tblPr>
      <w:tblGrid>
        <w:gridCol w:w="6463"/>
        <w:gridCol w:w="1134"/>
        <w:gridCol w:w="992"/>
        <w:gridCol w:w="1327"/>
      </w:tblGrid>
      <w:tr w:rsidR="00130863" w:rsidRPr="002A3DCE" w:rsidTr="00130863">
        <w:trPr>
          <w:trHeight w:val="255"/>
        </w:trPr>
        <w:tc>
          <w:tcPr>
            <w:tcW w:w="3259" w:type="pct"/>
            <w:tcBorders>
              <w:top w:val="single" w:sz="18" w:space="0" w:color="FFC000"/>
              <w:left w:val="single" w:sz="18" w:space="0" w:color="FFC000"/>
              <w:bottom w:val="single" w:sz="18" w:space="0" w:color="FFC000"/>
            </w:tcBorders>
            <w:shd w:val="clear" w:color="auto" w:fill="FFCC00"/>
            <w:noWrap/>
            <w:hideMark/>
          </w:tcPr>
          <w:p w:rsidR="00130863" w:rsidRPr="009B0D0C" w:rsidRDefault="00130863" w:rsidP="009B0D0C">
            <w:pPr>
              <w:rPr>
                <w:rFonts w:ascii="Corbel" w:eastAsia="Times New Roman" w:hAnsi="Corbel" w:cs="Arial"/>
                <w:color w:val="000000"/>
                <w:sz w:val="20"/>
                <w:szCs w:val="20"/>
                <w:lang w:val="en-US" w:eastAsia="pl-PL"/>
              </w:rPr>
            </w:pPr>
            <w:r w:rsidRPr="009B0D0C">
              <w:rPr>
                <w:rFonts w:ascii="Corbel" w:eastAsia="Times New Roman" w:hAnsi="Corbel" w:cs="Arial"/>
                <w:b/>
                <w:bCs/>
                <w:color w:val="000000"/>
                <w:sz w:val="20"/>
                <w:szCs w:val="20"/>
                <w:lang w:val="en-US" w:eastAsia="pl-PL"/>
              </w:rPr>
              <w:t>Thematic structure</w:t>
            </w:r>
            <w:r w:rsidRPr="009B0D0C">
              <w:rPr>
                <w:rFonts w:ascii="Corbel" w:eastAsia="Times New Roman" w:hAnsi="Corbel" w:cs="Arial"/>
                <w:color w:val="000000"/>
                <w:sz w:val="20"/>
                <w:szCs w:val="20"/>
                <w:lang w:val="en-US" w:eastAsia="pl-PL"/>
              </w:rPr>
              <w:t xml:space="preserve"> [NUTS-2, 2007-13, ERDF+CF]</w:t>
            </w:r>
          </w:p>
        </w:tc>
        <w:tc>
          <w:tcPr>
            <w:tcW w:w="572" w:type="pct"/>
            <w:tcBorders>
              <w:top w:val="single" w:sz="18" w:space="0" w:color="FFC000"/>
              <w:bottom w:val="single" w:sz="18" w:space="0" w:color="FFC000"/>
            </w:tcBorders>
            <w:shd w:val="clear" w:color="auto" w:fill="FFCC00"/>
            <w:noWrap/>
            <w:hideMark/>
          </w:tcPr>
          <w:p w:rsidR="00130863" w:rsidRPr="00130863" w:rsidRDefault="00130863" w:rsidP="00B06E70">
            <w:pPr>
              <w:rPr>
                <w:rFonts w:ascii="Corbel" w:eastAsia="Times New Roman" w:hAnsi="Corbel" w:cs="Arial"/>
                <w:b/>
                <w:color w:val="000000"/>
                <w:sz w:val="20"/>
                <w:szCs w:val="20"/>
                <w:lang w:val="en-US" w:eastAsia="pl-PL"/>
              </w:rPr>
            </w:pPr>
            <w:r>
              <w:rPr>
                <w:rFonts w:ascii="Corbel" w:eastAsia="Times New Roman" w:hAnsi="Corbel" w:cs="Arial"/>
                <w:b/>
                <w:color w:val="000000"/>
                <w:sz w:val="20"/>
                <w:szCs w:val="20"/>
                <w:lang w:val="en-US" w:eastAsia="pl-PL"/>
              </w:rPr>
              <w:t>Flevoland</w:t>
            </w:r>
          </w:p>
        </w:tc>
        <w:tc>
          <w:tcPr>
            <w:tcW w:w="500" w:type="pct"/>
            <w:tcBorders>
              <w:top w:val="single" w:sz="18" w:space="0" w:color="FFC000"/>
              <w:bottom w:val="single" w:sz="18" w:space="0" w:color="FFC000"/>
            </w:tcBorders>
            <w:shd w:val="clear" w:color="auto" w:fill="FFCC00"/>
            <w:noWrap/>
            <w:hideMark/>
          </w:tcPr>
          <w:p w:rsidR="00130863" w:rsidRPr="00130863" w:rsidRDefault="00130863" w:rsidP="00B06E70">
            <w:pPr>
              <w:rPr>
                <w:rFonts w:ascii="Corbel" w:eastAsia="Times New Roman" w:hAnsi="Corbel" w:cs="Arial"/>
                <w:b/>
                <w:color w:val="000000"/>
                <w:sz w:val="20"/>
                <w:szCs w:val="20"/>
                <w:lang w:val="en-US" w:eastAsia="pl-PL"/>
              </w:rPr>
            </w:pPr>
            <w:r>
              <w:rPr>
                <w:rFonts w:ascii="Corbel" w:eastAsia="Times New Roman" w:hAnsi="Corbel" w:cs="Arial"/>
                <w:b/>
                <w:color w:val="000000"/>
                <w:sz w:val="20"/>
                <w:szCs w:val="20"/>
                <w:lang w:val="en-US" w:eastAsia="pl-PL"/>
              </w:rPr>
              <w:t>Limburg</w:t>
            </w:r>
          </w:p>
        </w:tc>
        <w:tc>
          <w:tcPr>
            <w:tcW w:w="669" w:type="pct"/>
            <w:tcBorders>
              <w:top w:val="single" w:sz="18" w:space="0" w:color="FFC000"/>
              <w:bottom w:val="single" w:sz="18" w:space="0" w:color="FFC000"/>
              <w:right w:val="single" w:sz="18" w:space="0" w:color="FFC000"/>
            </w:tcBorders>
            <w:shd w:val="clear" w:color="auto" w:fill="FFCC00"/>
            <w:noWrap/>
            <w:hideMark/>
          </w:tcPr>
          <w:p w:rsidR="00130863" w:rsidRPr="00130863" w:rsidRDefault="00130863" w:rsidP="00B06E70">
            <w:pPr>
              <w:rPr>
                <w:rFonts w:ascii="Corbel" w:eastAsia="Times New Roman" w:hAnsi="Corbel" w:cs="Arial"/>
                <w:b/>
                <w:color w:val="000000"/>
                <w:sz w:val="20"/>
                <w:szCs w:val="20"/>
                <w:lang w:val="en-US" w:eastAsia="pl-PL"/>
              </w:rPr>
            </w:pPr>
            <w:r w:rsidRPr="00130863">
              <w:rPr>
                <w:rFonts w:ascii="Corbel" w:eastAsia="Times New Roman" w:hAnsi="Corbel" w:cs="Arial"/>
                <w:b/>
                <w:color w:val="000000"/>
                <w:sz w:val="20"/>
                <w:szCs w:val="20"/>
                <w:lang w:val="en-US" w:eastAsia="pl-PL"/>
              </w:rPr>
              <w:t>Netherlands</w:t>
            </w:r>
          </w:p>
        </w:tc>
      </w:tr>
      <w:tr w:rsidR="0003713C" w:rsidRPr="002A3DCE" w:rsidTr="00E6652E">
        <w:trPr>
          <w:trHeight w:val="255"/>
        </w:trPr>
        <w:tc>
          <w:tcPr>
            <w:tcW w:w="5000" w:type="pct"/>
            <w:gridSpan w:val="4"/>
            <w:tcBorders>
              <w:top w:val="single" w:sz="18" w:space="0" w:color="FFC000"/>
              <w:left w:val="single" w:sz="18" w:space="0" w:color="FFC000"/>
              <w:right w:val="single" w:sz="18" w:space="0" w:color="FFC000"/>
            </w:tcBorders>
            <w:shd w:val="clear" w:color="auto" w:fill="FDE9D9" w:themeFill="accent6" w:themeFillTint="33"/>
            <w:noWrap/>
            <w:hideMark/>
          </w:tcPr>
          <w:p w:rsidR="0003713C" w:rsidRPr="00A346B5" w:rsidRDefault="0003713C" w:rsidP="004835EF">
            <w:pPr>
              <w:rPr>
                <w:rFonts w:ascii="Corbel" w:eastAsia="Times New Roman" w:hAnsi="Corbel" w:cs="Arial"/>
                <w:color w:val="000000"/>
                <w:sz w:val="20"/>
                <w:szCs w:val="20"/>
                <w:lang w:val="en-US" w:eastAsia="pl-PL"/>
              </w:rPr>
            </w:pPr>
            <w:r w:rsidRPr="00A346B5">
              <w:rPr>
                <w:rFonts w:ascii="Corbel" w:eastAsia="Times New Roman" w:hAnsi="Corbel" w:cs="Arial"/>
                <w:b/>
                <w:i/>
                <w:iCs/>
                <w:color w:val="E36C0A" w:themeColor="accent6" w:themeShade="BF"/>
                <w:sz w:val="20"/>
                <w:szCs w:val="20"/>
                <w:lang w:val="en-US" w:eastAsia="pl-PL"/>
              </w:rPr>
              <w:t>% of allocation</w:t>
            </w:r>
          </w:p>
        </w:tc>
      </w:tr>
      <w:tr w:rsidR="0003713C" w:rsidRPr="00E6181A" w:rsidTr="00130863">
        <w:trPr>
          <w:trHeight w:val="255"/>
        </w:trPr>
        <w:tc>
          <w:tcPr>
            <w:tcW w:w="3259" w:type="pct"/>
            <w:tcBorders>
              <w:left w:val="single" w:sz="18" w:space="0" w:color="FFC000"/>
            </w:tcBorders>
            <w:noWrap/>
            <w:hideMark/>
          </w:tcPr>
          <w:p w:rsidR="0003713C" w:rsidRPr="00E6181A" w:rsidRDefault="0003713C" w:rsidP="004835EF">
            <w:pPr>
              <w:rPr>
                <w:rFonts w:ascii="Corbel" w:eastAsia="Times New Roman" w:hAnsi="Corbel" w:cs="Arial"/>
                <w:color w:val="000000"/>
                <w:sz w:val="20"/>
                <w:szCs w:val="20"/>
                <w:lang w:val="en-US" w:eastAsia="pl-PL"/>
              </w:rPr>
            </w:pPr>
            <w:r w:rsidRPr="00E6181A">
              <w:rPr>
                <w:rFonts w:ascii="Corbel" w:eastAsia="Times New Roman" w:hAnsi="Corbel" w:cs="Arial"/>
                <w:color w:val="000000"/>
                <w:sz w:val="20"/>
                <w:szCs w:val="20"/>
                <w:lang w:val="en-US" w:eastAsia="pl-PL"/>
              </w:rPr>
              <w:t>Category A</w:t>
            </w:r>
            <w:r>
              <w:rPr>
                <w:rFonts w:ascii="Corbel" w:eastAsia="Times New Roman" w:hAnsi="Corbel" w:cs="Arial"/>
                <w:color w:val="000000"/>
                <w:sz w:val="20"/>
                <w:szCs w:val="20"/>
                <w:lang w:val="en-US" w:eastAsia="pl-PL"/>
              </w:rPr>
              <w:t xml:space="preserve"> “Innovative </w:t>
            </w:r>
            <w:proofErr w:type="spellStart"/>
            <w:r>
              <w:rPr>
                <w:rFonts w:ascii="Corbel" w:eastAsia="Times New Roman" w:hAnsi="Corbel" w:cs="Arial"/>
                <w:color w:val="000000"/>
                <w:sz w:val="20"/>
                <w:szCs w:val="20"/>
                <w:lang w:val="en-US" w:eastAsia="pl-PL"/>
              </w:rPr>
              <w:t>enivironment</w:t>
            </w:r>
            <w:proofErr w:type="spellEnd"/>
            <w:r>
              <w:rPr>
                <w:rFonts w:ascii="Corbel" w:eastAsia="Times New Roman" w:hAnsi="Corbel" w:cs="Arial"/>
                <w:color w:val="000000"/>
                <w:sz w:val="20"/>
                <w:szCs w:val="20"/>
                <w:lang w:val="en-US" w:eastAsia="pl-PL"/>
              </w:rPr>
              <w:t>”</w:t>
            </w:r>
            <w:r w:rsidRPr="00E6181A">
              <w:rPr>
                <w:rFonts w:ascii="Corbel" w:eastAsia="Times New Roman" w:hAnsi="Corbel" w:cs="Arial"/>
                <w:color w:val="000000"/>
                <w:sz w:val="20"/>
                <w:szCs w:val="20"/>
                <w:lang w:val="en-US" w:eastAsia="pl-PL"/>
              </w:rPr>
              <w:t>: business support, human resources, IT infrastructure and services, research and technology</w:t>
            </w:r>
          </w:p>
        </w:tc>
        <w:tc>
          <w:tcPr>
            <w:tcW w:w="572" w:type="pct"/>
            <w:noWrap/>
          </w:tcPr>
          <w:p w:rsidR="0003713C" w:rsidRPr="00E6181A" w:rsidRDefault="00BF382A" w:rsidP="009B0D0C">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50.7%</w:t>
            </w:r>
          </w:p>
        </w:tc>
        <w:tc>
          <w:tcPr>
            <w:tcW w:w="500" w:type="pct"/>
            <w:noWrap/>
          </w:tcPr>
          <w:p w:rsidR="0003713C" w:rsidRPr="00E6181A" w:rsidRDefault="00BF382A" w:rsidP="009B0D0C">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51.2%</w:t>
            </w:r>
          </w:p>
        </w:tc>
        <w:tc>
          <w:tcPr>
            <w:tcW w:w="669" w:type="pct"/>
            <w:tcBorders>
              <w:right w:val="single" w:sz="18" w:space="0" w:color="FFC000"/>
            </w:tcBorders>
            <w:noWrap/>
          </w:tcPr>
          <w:p w:rsidR="0003713C" w:rsidRPr="00E6181A" w:rsidRDefault="00BF382A" w:rsidP="009B0D0C">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54.9%</w:t>
            </w:r>
          </w:p>
        </w:tc>
      </w:tr>
      <w:tr w:rsidR="0003713C" w:rsidRPr="00E6181A" w:rsidTr="00130863">
        <w:trPr>
          <w:trHeight w:val="255"/>
        </w:trPr>
        <w:tc>
          <w:tcPr>
            <w:tcW w:w="3259" w:type="pct"/>
            <w:tcBorders>
              <w:left w:val="single" w:sz="18" w:space="0" w:color="FFC000"/>
            </w:tcBorders>
            <w:noWrap/>
            <w:hideMark/>
          </w:tcPr>
          <w:p w:rsidR="0003713C" w:rsidRPr="00E6181A" w:rsidRDefault="0003713C" w:rsidP="004835EF">
            <w:pPr>
              <w:rPr>
                <w:rFonts w:ascii="Corbel" w:eastAsia="Times New Roman" w:hAnsi="Corbel" w:cs="Arial"/>
                <w:color w:val="000000"/>
                <w:sz w:val="20"/>
                <w:szCs w:val="20"/>
                <w:lang w:val="en-US" w:eastAsia="pl-PL"/>
              </w:rPr>
            </w:pPr>
            <w:r w:rsidRPr="00E6181A">
              <w:rPr>
                <w:rFonts w:ascii="Corbel" w:eastAsia="Times New Roman" w:hAnsi="Corbel" w:cs="Arial"/>
                <w:color w:val="000000"/>
                <w:sz w:val="20"/>
                <w:szCs w:val="20"/>
                <w:lang w:val="en-US" w:eastAsia="pl-PL"/>
              </w:rPr>
              <w:t>Category B</w:t>
            </w:r>
            <w:r>
              <w:rPr>
                <w:rFonts w:ascii="Corbel" w:eastAsia="Times New Roman" w:hAnsi="Corbel" w:cs="Arial"/>
                <w:color w:val="000000"/>
                <w:sz w:val="20"/>
                <w:szCs w:val="20"/>
                <w:lang w:val="en-US" w:eastAsia="pl-PL"/>
              </w:rPr>
              <w:t xml:space="preserve"> ”Basic infrastructure”</w:t>
            </w:r>
            <w:r w:rsidRPr="00E6181A">
              <w:rPr>
                <w:rFonts w:ascii="Corbel" w:eastAsia="Times New Roman" w:hAnsi="Corbel" w:cs="Arial"/>
                <w:color w:val="000000"/>
                <w:sz w:val="20"/>
                <w:szCs w:val="20"/>
                <w:lang w:val="en-US" w:eastAsia="pl-PL"/>
              </w:rPr>
              <w:t>: energy, environment and natural resources, transport infrastructure</w:t>
            </w:r>
          </w:p>
        </w:tc>
        <w:tc>
          <w:tcPr>
            <w:tcW w:w="572" w:type="pct"/>
            <w:noWrap/>
          </w:tcPr>
          <w:p w:rsidR="0003713C" w:rsidRPr="00E6181A" w:rsidRDefault="00BF382A" w:rsidP="009B0D0C">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10.2%</w:t>
            </w:r>
          </w:p>
        </w:tc>
        <w:tc>
          <w:tcPr>
            <w:tcW w:w="500" w:type="pct"/>
            <w:noWrap/>
          </w:tcPr>
          <w:p w:rsidR="0003713C" w:rsidRPr="00E6181A" w:rsidRDefault="00BF382A" w:rsidP="009B0D0C">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0.6%</w:t>
            </w:r>
          </w:p>
        </w:tc>
        <w:tc>
          <w:tcPr>
            <w:tcW w:w="669" w:type="pct"/>
            <w:tcBorders>
              <w:right w:val="single" w:sz="18" w:space="0" w:color="FFC000"/>
            </w:tcBorders>
            <w:noWrap/>
          </w:tcPr>
          <w:p w:rsidR="0003713C" w:rsidRPr="00E6181A" w:rsidRDefault="00BF382A" w:rsidP="009B0D0C">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16.8%</w:t>
            </w:r>
          </w:p>
        </w:tc>
      </w:tr>
      <w:tr w:rsidR="0003713C" w:rsidRPr="00E6181A" w:rsidTr="00130863">
        <w:trPr>
          <w:trHeight w:val="255"/>
        </w:trPr>
        <w:tc>
          <w:tcPr>
            <w:tcW w:w="3259" w:type="pct"/>
            <w:tcBorders>
              <w:left w:val="single" w:sz="18" w:space="0" w:color="FFC000"/>
            </w:tcBorders>
            <w:noWrap/>
            <w:hideMark/>
          </w:tcPr>
          <w:p w:rsidR="0003713C" w:rsidRPr="00E6181A" w:rsidRDefault="0003713C" w:rsidP="004835EF">
            <w:pPr>
              <w:rPr>
                <w:rFonts w:ascii="Corbel" w:eastAsia="Times New Roman" w:hAnsi="Corbel" w:cs="Arial"/>
                <w:color w:val="000000"/>
                <w:sz w:val="20"/>
                <w:szCs w:val="20"/>
                <w:lang w:val="en-US" w:eastAsia="pl-PL"/>
              </w:rPr>
            </w:pPr>
            <w:r w:rsidRPr="00E6181A">
              <w:rPr>
                <w:rFonts w:ascii="Corbel" w:eastAsia="Times New Roman" w:hAnsi="Corbel" w:cs="Arial"/>
                <w:color w:val="000000"/>
                <w:sz w:val="20"/>
                <w:szCs w:val="20"/>
                <w:lang w:val="en-US" w:eastAsia="pl-PL"/>
              </w:rPr>
              <w:t>Category C</w:t>
            </w:r>
            <w:r>
              <w:rPr>
                <w:rFonts w:ascii="Corbel" w:eastAsia="Times New Roman" w:hAnsi="Corbel" w:cs="Arial"/>
                <w:color w:val="000000"/>
                <w:sz w:val="20"/>
                <w:szCs w:val="20"/>
                <w:lang w:val="en-US" w:eastAsia="pl-PL"/>
              </w:rPr>
              <w:t xml:space="preserve"> “Quality of life”</w:t>
            </w:r>
            <w:r w:rsidRPr="00E6181A">
              <w:rPr>
                <w:rFonts w:ascii="Corbel" w:eastAsia="Times New Roman" w:hAnsi="Corbel" w:cs="Arial"/>
                <w:color w:val="000000"/>
                <w:sz w:val="20"/>
                <w:szCs w:val="20"/>
                <w:lang w:val="en-US" w:eastAsia="pl-PL"/>
              </w:rPr>
              <w:t>: social infrastructure, tourism and culture, urban and rural regeneration</w:t>
            </w:r>
          </w:p>
        </w:tc>
        <w:tc>
          <w:tcPr>
            <w:tcW w:w="572" w:type="pct"/>
            <w:noWrap/>
          </w:tcPr>
          <w:p w:rsidR="0003713C" w:rsidRPr="00E6181A" w:rsidRDefault="00BF382A" w:rsidP="009B0D0C">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39.1%</w:t>
            </w:r>
          </w:p>
        </w:tc>
        <w:tc>
          <w:tcPr>
            <w:tcW w:w="500" w:type="pct"/>
            <w:noWrap/>
          </w:tcPr>
          <w:p w:rsidR="0003713C" w:rsidRPr="00E6181A" w:rsidRDefault="00BF382A" w:rsidP="009B0D0C">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40.9%</w:t>
            </w:r>
          </w:p>
        </w:tc>
        <w:tc>
          <w:tcPr>
            <w:tcW w:w="669" w:type="pct"/>
            <w:tcBorders>
              <w:right w:val="single" w:sz="18" w:space="0" w:color="FFC000"/>
            </w:tcBorders>
            <w:noWrap/>
          </w:tcPr>
          <w:p w:rsidR="0003713C" w:rsidRPr="00E6181A" w:rsidRDefault="00BF382A" w:rsidP="009B0D0C">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24.6%</w:t>
            </w:r>
          </w:p>
        </w:tc>
      </w:tr>
      <w:tr w:rsidR="0003713C" w:rsidRPr="00E6181A" w:rsidTr="00E6652E">
        <w:trPr>
          <w:trHeight w:val="255"/>
        </w:trPr>
        <w:tc>
          <w:tcPr>
            <w:tcW w:w="5000" w:type="pct"/>
            <w:gridSpan w:val="4"/>
            <w:tcBorders>
              <w:top w:val="single" w:sz="18" w:space="0" w:color="FFC000"/>
              <w:left w:val="single" w:sz="18" w:space="0" w:color="FFC000"/>
              <w:right w:val="single" w:sz="18" w:space="0" w:color="FFC000"/>
            </w:tcBorders>
            <w:shd w:val="clear" w:color="auto" w:fill="FDE9D9" w:themeFill="accent6" w:themeFillTint="33"/>
            <w:noWrap/>
            <w:hideMark/>
          </w:tcPr>
          <w:p w:rsidR="0003713C" w:rsidRPr="00E6181A" w:rsidRDefault="0003713C" w:rsidP="004835EF">
            <w:pPr>
              <w:rPr>
                <w:rFonts w:ascii="Corbel" w:eastAsia="Times New Roman" w:hAnsi="Corbel" w:cs="Arial"/>
                <w:color w:val="000000"/>
                <w:sz w:val="20"/>
                <w:szCs w:val="20"/>
                <w:lang w:eastAsia="pl-PL"/>
              </w:rPr>
            </w:pPr>
            <w:proofErr w:type="spellStart"/>
            <w:r w:rsidRPr="00E6181A">
              <w:rPr>
                <w:rFonts w:ascii="Corbel" w:eastAsia="Times New Roman" w:hAnsi="Corbel" w:cs="Arial"/>
                <w:b/>
                <w:i/>
                <w:iCs/>
                <w:color w:val="E36C0A" w:themeColor="accent6" w:themeShade="BF"/>
                <w:sz w:val="20"/>
                <w:szCs w:val="20"/>
                <w:lang w:eastAsia="pl-PL"/>
              </w:rPr>
              <w:t>Rate</w:t>
            </w:r>
            <w:proofErr w:type="spellEnd"/>
            <w:r w:rsidRPr="00E6181A">
              <w:rPr>
                <w:rFonts w:ascii="Corbel" w:eastAsia="Times New Roman" w:hAnsi="Corbel" w:cs="Arial"/>
                <w:b/>
                <w:i/>
                <w:iCs/>
                <w:color w:val="E36C0A" w:themeColor="accent6" w:themeShade="BF"/>
                <w:sz w:val="20"/>
                <w:szCs w:val="20"/>
                <w:lang w:eastAsia="pl-PL"/>
              </w:rPr>
              <w:t xml:space="preserve"> of </w:t>
            </w:r>
            <w:proofErr w:type="spellStart"/>
            <w:r w:rsidRPr="00E6181A">
              <w:rPr>
                <w:rFonts w:ascii="Corbel" w:eastAsia="Times New Roman" w:hAnsi="Corbel" w:cs="Arial"/>
                <w:b/>
                <w:i/>
                <w:iCs/>
                <w:color w:val="E36C0A" w:themeColor="accent6" w:themeShade="BF"/>
                <w:sz w:val="20"/>
                <w:szCs w:val="20"/>
                <w:lang w:eastAsia="pl-PL"/>
              </w:rPr>
              <w:t>absorption</w:t>
            </w:r>
            <w:proofErr w:type="spellEnd"/>
            <w:r w:rsidRPr="00E6181A">
              <w:rPr>
                <w:rFonts w:ascii="Corbel" w:eastAsia="Times New Roman" w:hAnsi="Corbel" w:cs="Arial"/>
                <w:b/>
                <w:i/>
                <w:iCs/>
                <w:color w:val="E36C0A" w:themeColor="accent6" w:themeShade="BF"/>
                <w:sz w:val="20"/>
                <w:szCs w:val="20"/>
                <w:lang w:eastAsia="pl-PL"/>
              </w:rPr>
              <w:t xml:space="preserve"> [</w:t>
            </w:r>
            <w:r>
              <w:rPr>
                <w:rFonts w:ascii="Corbel" w:eastAsia="Times New Roman" w:hAnsi="Corbel" w:cs="Arial"/>
                <w:b/>
                <w:i/>
                <w:iCs/>
                <w:color w:val="E36C0A" w:themeColor="accent6" w:themeShade="BF"/>
                <w:sz w:val="20"/>
                <w:szCs w:val="20"/>
                <w:lang w:eastAsia="pl-PL"/>
              </w:rPr>
              <w:t xml:space="preserve">in </w:t>
            </w:r>
            <w:r w:rsidRPr="00E6181A">
              <w:rPr>
                <w:rFonts w:ascii="Corbel" w:eastAsia="Times New Roman" w:hAnsi="Corbel" w:cs="Arial"/>
                <w:b/>
                <w:i/>
                <w:iCs/>
                <w:color w:val="E36C0A" w:themeColor="accent6" w:themeShade="BF"/>
                <w:sz w:val="20"/>
                <w:szCs w:val="20"/>
                <w:lang w:eastAsia="pl-PL"/>
              </w:rPr>
              <w:t>2014]</w:t>
            </w:r>
          </w:p>
        </w:tc>
      </w:tr>
      <w:tr w:rsidR="0003713C" w:rsidRPr="00E6181A" w:rsidTr="00130863">
        <w:trPr>
          <w:trHeight w:val="255"/>
        </w:trPr>
        <w:tc>
          <w:tcPr>
            <w:tcW w:w="3259" w:type="pct"/>
            <w:tcBorders>
              <w:left w:val="single" w:sz="18" w:space="0" w:color="FFC000"/>
            </w:tcBorders>
            <w:noWrap/>
            <w:hideMark/>
          </w:tcPr>
          <w:p w:rsidR="0003713C" w:rsidRPr="00E6181A" w:rsidRDefault="0003713C" w:rsidP="004835EF">
            <w:pPr>
              <w:rPr>
                <w:rFonts w:ascii="Corbel" w:eastAsia="Times New Roman" w:hAnsi="Corbel" w:cs="Arial"/>
                <w:color w:val="000000"/>
                <w:sz w:val="20"/>
                <w:szCs w:val="20"/>
                <w:lang w:val="en-US" w:eastAsia="pl-PL"/>
              </w:rPr>
            </w:pPr>
            <w:r w:rsidRPr="00E6181A">
              <w:rPr>
                <w:rFonts w:ascii="Corbel" w:eastAsia="Times New Roman" w:hAnsi="Corbel" w:cs="Arial"/>
                <w:color w:val="000000"/>
                <w:sz w:val="20"/>
                <w:szCs w:val="20"/>
                <w:lang w:val="en-US" w:eastAsia="pl-PL"/>
              </w:rPr>
              <w:t>Category A</w:t>
            </w:r>
            <w:r>
              <w:rPr>
                <w:rFonts w:ascii="Corbel" w:eastAsia="Times New Roman" w:hAnsi="Corbel" w:cs="Arial"/>
                <w:color w:val="000000"/>
                <w:sz w:val="20"/>
                <w:szCs w:val="20"/>
                <w:lang w:val="en-US" w:eastAsia="pl-PL"/>
              </w:rPr>
              <w:t xml:space="preserve"> “Innovative </w:t>
            </w:r>
            <w:proofErr w:type="spellStart"/>
            <w:r>
              <w:rPr>
                <w:rFonts w:ascii="Corbel" w:eastAsia="Times New Roman" w:hAnsi="Corbel" w:cs="Arial"/>
                <w:color w:val="000000"/>
                <w:sz w:val="20"/>
                <w:szCs w:val="20"/>
                <w:lang w:val="en-US" w:eastAsia="pl-PL"/>
              </w:rPr>
              <w:t>enivironment</w:t>
            </w:r>
            <w:proofErr w:type="spellEnd"/>
            <w:r>
              <w:rPr>
                <w:rFonts w:ascii="Corbel" w:eastAsia="Times New Roman" w:hAnsi="Corbel" w:cs="Arial"/>
                <w:color w:val="000000"/>
                <w:sz w:val="20"/>
                <w:szCs w:val="20"/>
                <w:lang w:val="en-US" w:eastAsia="pl-PL"/>
              </w:rPr>
              <w:t>”</w:t>
            </w:r>
            <w:r w:rsidRPr="00E6181A">
              <w:rPr>
                <w:rFonts w:ascii="Corbel" w:eastAsia="Times New Roman" w:hAnsi="Corbel" w:cs="Arial"/>
                <w:color w:val="000000"/>
                <w:sz w:val="20"/>
                <w:szCs w:val="20"/>
                <w:lang w:val="en-US" w:eastAsia="pl-PL"/>
              </w:rPr>
              <w:t>: business support, human resources, IT infrastructure and services, research and technology</w:t>
            </w:r>
          </w:p>
        </w:tc>
        <w:tc>
          <w:tcPr>
            <w:tcW w:w="572" w:type="pct"/>
            <w:noWrap/>
          </w:tcPr>
          <w:p w:rsidR="0003713C" w:rsidRPr="00E6181A" w:rsidRDefault="00BF382A" w:rsidP="00BF38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68.1%</w:t>
            </w:r>
          </w:p>
        </w:tc>
        <w:tc>
          <w:tcPr>
            <w:tcW w:w="500" w:type="pct"/>
            <w:noWrap/>
          </w:tcPr>
          <w:p w:rsidR="0003713C" w:rsidRPr="00E6181A" w:rsidRDefault="00BF382A" w:rsidP="009B0D0C">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97.0%</w:t>
            </w:r>
          </w:p>
        </w:tc>
        <w:tc>
          <w:tcPr>
            <w:tcW w:w="669" w:type="pct"/>
            <w:tcBorders>
              <w:right w:val="single" w:sz="18" w:space="0" w:color="FFC000"/>
            </w:tcBorders>
            <w:noWrap/>
          </w:tcPr>
          <w:p w:rsidR="0003713C" w:rsidRPr="00E6181A" w:rsidRDefault="00BF382A" w:rsidP="009B0D0C">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79.4%</w:t>
            </w:r>
          </w:p>
        </w:tc>
      </w:tr>
      <w:tr w:rsidR="0003713C" w:rsidRPr="00E6181A" w:rsidTr="00130863">
        <w:trPr>
          <w:trHeight w:val="255"/>
        </w:trPr>
        <w:tc>
          <w:tcPr>
            <w:tcW w:w="3259" w:type="pct"/>
            <w:tcBorders>
              <w:left w:val="single" w:sz="18" w:space="0" w:color="FFC000"/>
            </w:tcBorders>
            <w:noWrap/>
            <w:hideMark/>
          </w:tcPr>
          <w:p w:rsidR="0003713C" w:rsidRPr="00E6181A" w:rsidRDefault="0003713C" w:rsidP="004835EF">
            <w:pPr>
              <w:rPr>
                <w:rFonts w:ascii="Corbel" w:eastAsia="Times New Roman" w:hAnsi="Corbel" w:cs="Arial"/>
                <w:color w:val="000000"/>
                <w:sz w:val="20"/>
                <w:szCs w:val="20"/>
                <w:lang w:val="en-US" w:eastAsia="pl-PL"/>
              </w:rPr>
            </w:pPr>
            <w:r w:rsidRPr="00E6181A">
              <w:rPr>
                <w:rFonts w:ascii="Corbel" w:eastAsia="Times New Roman" w:hAnsi="Corbel" w:cs="Arial"/>
                <w:color w:val="000000"/>
                <w:sz w:val="20"/>
                <w:szCs w:val="20"/>
                <w:lang w:val="en-US" w:eastAsia="pl-PL"/>
              </w:rPr>
              <w:t>Category B</w:t>
            </w:r>
            <w:r>
              <w:rPr>
                <w:rFonts w:ascii="Corbel" w:eastAsia="Times New Roman" w:hAnsi="Corbel" w:cs="Arial"/>
                <w:color w:val="000000"/>
                <w:sz w:val="20"/>
                <w:szCs w:val="20"/>
                <w:lang w:val="en-US" w:eastAsia="pl-PL"/>
              </w:rPr>
              <w:t xml:space="preserve"> ”Basic infrastructure”</w:t>
            </w:r>
            <w:r w:rsidRPr="00E6181A">
              <w:rPr>
                <w:rFonts w:ascii="Corbel" w:eastAsia="Times New Roman" w:hAnsi="Corbel" w:cs="Arial"/>
                <w:color w:val="000000"/>
                <w:sz w:val="20"/>
                <w:szCs w:val="20"/>
                <w:lang w:val="en-US" w:eastAsia="pl-PL"/>
              </w:rPr>
              <w:t>: energy, environment and natural resources, transport infrastructure</w:t>
            </w:r>
          </w:p>
        </w:tc>
        <w:tc>
          <w:tcPr>
            <w:tcW w:w="572" w:type="pct"/>
            <w:noWrap/>
          </w:tcPr>
          <w:p w:rsidR="0003713C" w:rsidRPr="00E6181A" w:rsidRDefault="00BF382A" w:rsidP="009B0D0C">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31.7%</w:t>
            </w:r>
          </w:p>
        </w:tc>
        <w:tc>
          <w:tcPr>
            <w:tcW w:w="500" w:type="pct"/>
            <w:noWrap/>
          </w:tcPr>
          <w:p w:rsidR="0003713C" w:rsidRPr="00E6181A" w:rsidRDefault="00BF382A" w:rsidP="009B0D0C">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100%</w:t>
            </w:r>
          </w:p>
        </w:tc>
        <w:tc>
          <w:tcPr>
            <w:tcW w:w="669" w:type="pct"/>
            <w:tcBorders>
              <w:right w:val="single" w:sz="18" w:space="0" w:color="FFC000"/>
            </w:tcBorders>
            <w:noWrap/>
          </w:tcPr>
          <w:p w:rsidR="0003713C" w:rsidRPr="00E6181A" w:rsidRDefault="00BF382A" w:rsidP="009B0D0C">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76.5%</w:t>
            </w:r>
          </w:p>
        </w:tc>
      </w:tr>
      <w:tr w:rsidR="0003713C" w:rsidRPr="00E6181A" w:rsidTr="00130863">
        <w:trPr>
          <w:trHeight w:val="255"/>
        </w:trPr>
        <w:tc>
          <w:tcPr>
            <w:tcW w:w="3259" w:type="pct"/>
            <w:tcBorders>
              <w:left w:val="single" w:sz="18" w:space="0" w:color="FFC000"/>
              <w:bottom w:val="single" w:sz="18" w:space="0" w:color="FFC000"/>
            </w:tcBorders>
            <w:noWrap/>
            <w:hideMark/>
          </w:tcPr>
          <w:p w:rsidR="0003713C" w:rsidRPr="00E6181A" w:rsidRDefault="0003713C" w:rsidP="004835EF">
            <w:pPr>
              <w:rPr>
                <w:rFonts w:ascii="Corbel" w:eastAsia="Times New Roman" w:hAnsi="Corbel" w:cs="Arial"/>
                <w:color w:val="000000"/>
                <w:sz w:val="20"/>
                <w:szCs w:val="20"/>
                <w:lang w:val="en-US" w:eastAsia="pl-PL"/>
              </w:rPr>
            </w:pPr>
            <w:r w:rsidRPr="00E6181A">
              <w:rPr>
                <w:rFonts w:ascii="Corbel" w:eastAsia="Times New Roman" w:hAnsi="Corbel" w:cs="Arial"/>
                <w:color w:val="000000"/>
                <w:sz w:val="20"/>
                <w:szCs w:val="20"/>
                <w:lang w:val="en-US" w:eastAsia="pl-PL"/>
              </w:rPr>
              <w:t>Category C</w:t>
            </w:r>
            <w:r>
              <w:rPr>
                <w:rFonts w:ascii="Corbel" w:eastAsia="Times New Roman" w:hAnsi="Corbel" w:cs="Arial"/>
                <w:color w:val="000000"/>
                <w:sz w:val="20"/>
                <w:szCs w:val="20"/>
                <w:lang w:val="en-US" w:eastAsia="pl-PL"/>
              </w:rPr>
              <w:t xml:space="preserve"> “Quality of life”</w:t>
            </w:r>
            <w:r w:rsidRPr="00E6181A">
              <w:rPr>
                <w:rFonts w:ascii="Corbel" w:eastAsia="Times New Roman" w:hAnsi="Corbel" w:cs="Arial"/>
                <w:color w:val="000000"/>
                <w:sz w:val="20"/>
                <w:szCs w:val="20"/>
                <w:lang w:val="en-US" w:eastAsia="pl-PL"/>
              </w:rPr>
              <w:t>: social infrastructure, tourism and culture, urban and rural regeneration</w:t>
            </w:r>
          </w:p>
        </w:tc>
        <w:tc>
          <w:tcPr>
            <w:tcW w:w="572" w:type="pct"/>
            <w:tcBorders>
              <w:bottom w:val="single" w:sz="18" w:space="0" w:color="FFC000"/>
            </w:tcBorders>
            <w:noWrap/>
          </w:tcPr>
          <w:p w:rsidR="0003713C" w:rsidRPr="00E6181A" w:rsidRDefault="00BF382A" w:rsidP="009B0D0C">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80.3%</w:t>
            </w:r>
          </w:p>
        </w:tc>
        <w:tc>
          <w:tcPr>
            <w:tcW w:w="500" w:type="pct"/>
            <w:tcBorders>
              <w:bottom w:val="single" w:sz="18" w:space="0" w:color="FFC000"/>
            </w:tcBorders>
            <w:noWrap/>
          </w:tcPr>
          <w:p w:rsidR="0003713C" w:rsidRPr="00E6181A" w:rsidRDefault="00BF382A" w:rsidP="009B0D0C">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100%</w:t>
            </w:r>
          </w:p>
        </w:tc>
        <w:tc>
          <w:tcPr>
            <w:tcW w:w="669" w:type="pct"/>
            <w:tcBorders>
              <w:bottom w:val="single" w:sz="18" w:space="0" w:color="FFC000"/>
              <w:right w:val="single" w:sz="18" w:space="0" w:color="FFC000"/>
            </w:tcBorders>
            <w:noWrap/>
          </w:tcPr>
          <w:p w:rsidR="0003713C" w:rsidRPr="00E6181A" w:rsidRDefault="00BF382A" w:rsidP="009B0D0C">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89.5%</w:t>
            </w:r>
          </w:p>
        </w:tc>
      </w:tr>
    </w:tbl>
    <w:p w:rsidR="00E6652E" w:rsidRPr="003864D3" w:rsidRDefault="003864D3" w:rsidP="003C750D">
      <w:pPr>
        <w:jc w:val="both"/>
        <w:rPr>
          <w:rFonts w:ascii="Corbel" w:eastAsia="MS Mincho" w:hAnsi="Corbel" w:cs="Times New Roman"/>
          <w:noProof/>
          <w:color w:val="404040"/>
          <w:sz w:val="20"/>
          <w:szCs w:val="24"/>
          <w:lang w:val="en-GB" w:eastAsia="ja-JP"/>
        </w:rPr>
      </w:pPr>
      <w:r w:rsidRPr="003864D3">
        <w:rPr>
          <w:rFonts w:ascii="Corbel" w:eastAsia="MS Mincho" w:hAnsi="Corbel" w:cs="Times New Roman"/>
          <w:noProof/>
          <w:color w:val="404040"/>
          <w:sz w:val="20"/>
          <w:szCs w:val="24"/>
          <w:lang w:val="en-GB" w:eastAsia="ja-JP"/>
        </w:rPr>
        <w:t xml:space="preserve">* % of allocation does not add to 1, because the “technical assistance” is not included in any of the categories. </w:t>
      </w:r>
    </w:p>
    <w:p w:rsidR="00840977" w:rsidRDefault="00AA072C" w:rsidP="003C750D">
      <w:pPr>
        <w:jc w:val="both"/>
        <w:rPr>
          <w:rFonts w:ascii="Corbel" w:eastAsia="MS Mincho" w:hAnsi="Corbel" w:cs="Times New Roman"/>
          <w:noProof/>
          <w:color w:val="404040"/>
          <w:sz w:val="24"/>
          <w:szCs w:val="24"/>
          <w:lang w:val="en-GB" w:eastAsia="ja-JP"/>
        </w:rPr>
      </w:pPr>
      <w:r>
        <w:rPr>
          <w:rFonts w:ascii="Corbel" w:eastAsia="MS Mincho" w:hAnsi="Corbel" w:cs="Times New Roman"/>
          <w:noProof/>
          <w:color w:val="404040"/>
          <w:sz w:val="24"/>
          <w:szCs w:val="24"/>
          <w:lang w:val="en-GB" w:eastAsia="ja-JP"/>
        </w:rPr>
        <w:lastRenderedPageBreak/>
        <w:t xml:space="preserve">The </w:t>
      </w:r>
      <w:r w:rsidR="00B35E07">
        <w:rPr>
          <w:rFonts w:ascii="Corbel" w:eastAsia="MS Mincho" w:hAnsi="Corbel" w:cs="Times New Roman"/>
          <w:noProof/>
          <w:color w:val="404040"/>
          <w:sz w:val="24"/>
          <w:szCs w:val="24"/>
          <w:lang w:val="en-GB" w:eastAsia="ja-JP"/>
        </w:rPr>
        <w:t>structure of allocation</w:t>
      </w:r>
      <w:r w:rsidR="00F57C20">
        <w:rPr>
          <w:rFonts w:ascii="Corbel" w:eastAsia="MS Mincho" w:hAnsi="Corbel" w:cs="Times New Roman"/>
          <w:noProof/>
          <w:color w:val="404040"/>
          <w:sz w:val="24"/>
          <w:szCs w:val="24"/>
          <w:lang w:val="en-GB" w:eastAsia="ja-JP"/>
        </w:rPr>
        <w:t xml:space="preserve"> </w:t>
      </w:r>
      <w:r w:rsidR="00840977">
        <w:rPr>
          <w:rFonts w:ascii="Corbel" w:eastAsia="MS Mincho" w:hAnsi="Corbel" w:cs="Times New Roman"/>
          <w:noProof/>
          <w:color w:val="404040"/>
          <w:sz w:val="24"/>
          <w:szCs w:val="24"/>
          <w:lang w:val="en-GB" w:eastAsia="ja-JP"/>
        </w:rPr>
        <w:t>in the analysed regions is dominated by investments in Category A and Category C. The share of funds dedi</w:t>
      </w:r>
      <w:r w:rsidR="003864D3">
        <w:rPr>
          <w:rFonts w:ascii="Corbel" w:eastAsia="MS Mincho" w:hAnsi="Corbel" w:cs="Times New Roman"/>
          <w:noProof/>
          <w:color w:val="404040"/>
          <w:sz w:val="24"/>
          <w:szCs w:val="24"/>
          <w:lang w:val="en-GB" w:eastAsia="ja-JP"/>
        </w:rPr>
        <w:t>cated to the latter category both in Flevoland and Limburg</w:t>
      </w:r>
      <w:r w:rsidR="00840977">
        <w:rPr>
          <w:rFonts w:ascii="Corbel" w:eastAsia="MS Mincho" w:hAnsi="Corbel" w:cs="Times New Roman"/>
          <w:noProof/>
          <w:color w:val="404040"/>
          <w:sz w:val="24"/>
          <w:szCs w:val="24"/>
          <w:lang w:val="en-GB" w:eastAsia="ja-JP"/>
        </w:rPr>
        <w:t xml:space="preserve"> exceeds the national average by approx. 15 pp. </w:t>
      </w:r>
      <w:r w:rsidR="003864D3">
        <w:rPr>
          <w:rFonts w:ascii="Corbel" w:eastAsia="MS Mincho" w:hAnsi="Corbel" w:cs="Times New Roman"/>
          <w:noProof/>
          <w:color w:val="404040"/>
          <w:sz w:val="24"/>
          <w:szCs w:val="24"/>
          <w:lang w:val="en-GB" w:eastAsia="ja-JP"/>
        </w:rPr>
        <w:t>Interestingly, basic infrastructure seems to be of minor importance, especially in Limburg – where it attracted less than 1% of total allocations.</w:t>
      </w:r>
    </w:p>
    <w:p w:rsidR="00B35E07" w:rsidRDefault="003864D3" w:rsidP="003C750D">
      <w:pPr>
        <w:jc w:val="both"/>
        <w:rPr>
          <w:rFonts w:ascii="Corbel" w:eastAsia="MS Mincho" w:hAnsi="Corbel" w:cs="Times New Roman"/>
          <w:noProof/>
          <w:color w:val="404040"/>
          <w:sz w:val="24"/>
          <w:szCs w:val="24"/>
          <w:lang w:val="en-GB" w:eastAsia="ja-JP"/>
        </w:rPr>
      </w:pPr>
      <w:r>
        <w:rPr>
          <w:rFonts w:ascii="Corbel" w:eastAsia="MS Mincho" w:hAnsi="Corbel" w:cs="Times New Roman"/>
          <w:noProof/>
          <w:color w:val="404040"/>
          <w:sz w:val="24"/>
          <w:szCs w:val="24"/>
          <w:lang w:val="en-GB" w:eastAsia="ja-JP"/>
        </w:rPr>
        <w:t>The rate of absorption broken down by thematic categories shows the relative underperformance of Flevoland, especially with regard to investments in basic infrastructure. On the other hand, Limburg outperforms not only Flevoland, but also the national average.</w:t>
      </w:r>
    </w:p>
    <w:tbl>
      <w:tblPr>
        <w:tblStyle w:val="Tabela-Siatka"/>
        <w:tblW w:w="5000" w:type="pct"/>
        <w:tblCellMar>
          <w:top w:w="28" w:type="dxa"/>
          <w:left w:w="85" w:type="dxa"/>
          <w:bottom w:w="28" w:type="dxa"/>
          <w:right w:w="85" w:type="dxa"/>
        </w:tblCellMar>
        <w:tblLook w:val="04A0" w:firstRow="1" w:lastRow="0" w:firstColumn="1" w:lastColumn="0" w:noHBand="0" w:noVBand="1"/>
      </w:tblPr>
      <w:tblGrid>
        <w:gridCol w:w="4611"/>
        <w:gridCol w:w="1481"/>
        <w:gridCol w:w="1382"/>
        <w:gridCol w:w="1240"/>
        <w:gridCol w:w="1202"/>
      </w:tblGrid>
      <w:tr w:rsidR="00130863" w:rsidRPr="00B35E07" w:rsidTr="00BF382A">
        <w:trPr>
          <w:trHeight w:val="255"/>
        </w:trPr>
        <w:tc>
          <w:tcPr>
            <w:tcW w:w="2325" w:type="pct"/>
            <w:tcBorders>
              <w:top w:val="single" w:sz="18" w:space="0" w:color="0070C0"/>
              <w:left w:val="single" w:sz="18" w:space="0" w:color="0070C0"/>
              <w:bottom w:val="single" w:sz="18" w:space="0" w:color="0070C0"/>
            </w:tcBorders>
            <w:shd w:val="clear" w:color="auto" w:fill="95B3D7" w:themeFill="accent1" w:themeFillTint="99"/>
            <w:noWrap/>
            <w:hideMark/>
          </w:tcPr>
          <w:p w:rsidR="00130863" w:rsidRPr="00B35E07" w:rsidRDefault="00130863" w:rsidP="004835EF">
            <w:pPr>
              <w:rPr>
                <w:rFonts w:ascii="Corbel" w:eastAsia="Times New Roman" w:hAnsi="Corbel" w:cs="Arial"/>
                <w:bCs/>
                <w:color w:val="000000"/>
                <w:sz w:val="20"/>
                <w:szCs w:val="20"/>
                <w:lang w:val="en-US" w:eastAsia="pl-PL"/>
              </w:rPr>
            </w:pPr>
            <w:r w:rsidRPr="00B35E07">
              <w:rPr>
                <w:rFonts w:ascii="Corbel" w:eastAsia="Times New Roman" w:hAnsi="Corbel" w:cs="Arial"/>
                <w:b/>
                <w:bCs/>
                <w:color w:val="000000"/>
                <w:sz w:val="20"/>
                <w:szCs w:val="20"/>
                <w:lang w:val="en-US" w:eastAsia="pl-PL"/>
              </w:rPr>
              <w:t xml:space="preserve">Regional OP </w:t>
            </w:r>
            <w:r w:rsidRPr="00B35E07">
              <w:rPr>
                <w:rFonts w:ascii="Corbel" w:eastAsia="Times New Roman" w:hAnsi="Corbel" w:cs="Arial"/>
                <w:bCs/>
                <w:color w:val="000000"/>
                <w:sz w:val="20"/>
                <w:szCs w:val="20"/>
                <w:lang w:val="en-US" w:eastAsia="pl-PL"/>
              </w:rPr>
              <w:t>[ERDF]</w:t>
            </w:r>
          </w:p>
        </w:tc>
        <w:tc>
          <w:tcPr>
            <w:tcW w:w="747" w:type="pct"/>
            <w:tcBorders>
              <w:top w:val="single" w:sz="18" w:space="0" w:color="0070C0"/>
              <w:bottom w:val="single" w:sz="18" w:space="0" w:color="0070C0"/>
            </w:tcBorders>
            <w:shd w:val="clear" w:color="auto" w:fill="95B3D7" w:themeFill="accent1" w:themeFillTint="99"/>
            <w:noWrap/>
            <w:hideMark/>
          </w:tcPr>
          <w:p w:rsidR="00130863" w:rsidRPr="00130863" w:rsidRDefault="00130863" w:rsidP="00B06E70">
            <w:pPr>
              <w:rPr>
                <w:rFonts w:ascii="Corbel" w:eastAsia="Times New Roman" w:hAnsi="Corbel" w:cs="Arial"/>
                <w:b/>
                <w:color w:val="000000"/>
                <w:sz w:val="20"/>
                <w:szCs w:val="20"/>
                <w:lang w:val="en-US" w:eastAsia="pl-PL"/>
              </w:rPr>
            </w:pPr>
            <w:r>
              <w:rPr>
                <w:rFonts w:ascii="Corbel" w:eastAsia="Times New Roman" w:hAnsi="Corbel" w:cs="Arial"/>
                <w:b/>
                <w:color w:val="000000"/>
                <w:sz w:val="20"/>
                <w:szCs w:val="20"/>
                <w:lang w:val="en-US" w:eastAsia="pl-PL"/>
              </w:rPr>
              <w:t>Flevoland</w:t>
            </w:r>
            <w:r w:rsidR="00BF382A">
              <w:rPr>
                <w:rFonts w:ascii="Corbel" w:eastAsia="Times New Roman" w:hAnsi="Corbel" w:cs="Arial"/>
                <w:b/>
                <w:color w:val="000000"/>
                <w:sz w:val="20"/>
                <w:szCs w:val="20"/>
                <w:lang w:val="en-US" w:eastAsia="pl-PL"/>
              </w:rPr>
              <w:t>*</w:t>
            </w:r>
          </w:p>
        </w:tc>
        <w:tc>
          <w:tcPr>
            <w:tcW w:w="697" w:type="pct"/>
            <w:tcBorders>
              <w:top w:val="single" w:sz="18" w:space="0" w:color="0070C0"/>
              <w:bottom w:val="single" w:sz="18" w:space="0" w:color="0070C0"/>
            </w:tcBorders>
            <w:shd w:val="clear" w:color="auto" w:fill="95B3D7" w:themeFill="accent1" w:themeFillTint="99"/>
            <w:noWrap/>
            <w:hideMark/>
          </w:tcPr>
          <w:p w:rsidR="00130863" w:rsidRPr="00130863" w:rsidRDefault="00130863" w:rsidP="00B06E70">
            <w:pPr>
              <w:rPr>
                <w:rFonts w:ascii="Corbel" w:eastAsia="Times New Roman" w:hAnsi="Corbel" w:cs="Arial"/>
                <w:b/>
                <w:color w:val="000000"/>
                <w:sz w:val="20"/>
                <w:szCs w:val="20"/>
                <w:lang w:val="en-US" w:eastAsia="pl-PL"/>
              </w:rPr>
            </w:pPr>
            <w:r>
              <w:rPr>
                <w:rFonts w:ascii="Corbel" w:eastAsia="Times New Roman" w:hAnsi="Corbel" w:cs="Arial"/>
                <w:b/>
                <w:color w:val="000000"/>
                <w:sz w:val="20"/>
                <w:szCs w:val="20"/>
                <w:lang w:val="en-US" w:eastAsia="pl-PL"/>
              </w:rPr>
              <w:t>Limburg</w:t>
            </w:r>
            <w:r w:rsidR="00BF382A">
              <w:rPr>
                <w:rFonts w:ascii="Corbel" w:eastAsia="Times New Roman" w:hAnsi="Corbel" w:cs="Arial"/>
                <w:b/>
                <w:color w:val="000000"/>
                <w:sz w:val="20"/>
                <w:szCs w:val="20"/>
                <w:lang w:val="en-US" w:eastAsia="pl-PL"/>
              </w:rPr>
              <w:t>*</w:t>
            </w:r>
          </w:p>
        </w:tc>
        <w:tc>
          <w:tcPr>
            <w:tcW w:w="625" w:type="pct"/>
            <w:tcBorders>
              <w:top w:val="single" w:sz="18" w:space="0" w:color="0070C0"/>
              <w:bottom w:val="single" w:sz="18" w:space="0" w:color="0070C0"/>
            </w:tcBorders>
            <w:shd w:val="clear" w:color="auto" w:fill="95B3D7" w:themeFill="accent1" w:themeFillTint="99"/>
            <w:noWrap/>
            <w:hideMark/>
          </w:tcPr>
          <w:p w:rsidR="00130863" w:rsidRPr="00130863" w:rsidRDefault="00130863" w:rsidP="00B06E70">
            <w:pPr>
              <w:rPr>
                <w:rFonts w:ascii="Corbel" w:eastAsia="Times New Roman" w:hAnsi="Corbel" w:cs="Arial"/>
                <w:b/>
                <w:color w:val="000000"/>
                <w:sz w:val="20"/>
                <w:szCs w:val="20"/>
                <w:lang w:val="en-US" w:eastAsia="pl-PL"/>
              </w:rPr>
            </w:pPr>
            <w:r w:rsidRPr="00130863">
              <w:rPr>
                <w:rFonts w:ascii="Corbel" w:eastAsia="Times New Roman" w:hAnsi="Corbel" w:cs="Arial"/>
                <w:b/>
                <w:color w:val="000000"/>
                <w:sz w:val="20"/>
                <w:szCs w:val="20"/>
                <w:lang w:val="en-US" w:eastAsia="pl-PL"/>
              </w:rPr>
              <w:t>Netherlands</w:t>
            </w:r>
          </w:p>
        </w:tc>
        <w:tc>
          <w:tcPr>
            <w:tcW w:w="607" w:type="pct"/>
            <w:tcBorders>
              <w:top w:val="single" w:sz="18" w:space="0" w:color="0070C0"/>
              <w:bottom w:val="single" w:sz="18" w:space="0" w:color="0070C0"/>
              <w:right w:val="single" w:sz="18" w:space="0" w:color="0070C0"/>
            </w:tcBorders>
            <w:shd w:val="clear" w:color="auto" w:fill="95B3D7" w:themeFill="accent1" w:themeFillTint="99"/>
            <w:noWrap/>
            <w:hideMark/>
          </w:tcPr>
          <w:p w:rsidR="00130863" w:rsidRPr="00B35E07" w:rsidRDefault="00130863" w:rsidP="009B0D0C">
            <w:pPr>
              <w:jc w:val="center"/>
              <w:rPr>
                <w:rFonts w:ascii="Corbel" w:eastAsia="Times New Roman" w:hAnsi="Corbel" w:cs="Arial"/>
                <w:b/>
                <w:color w:val="000000"/>
                <w:sz w:val="20"/>
                <w:szCs w:val="20"/>
                <w:lang w:val="en-US" w:eastAsia="pl-PL"/>
              </w:rPr>
            </w:pPr>
            <w:r w:rsidRPr="00B35E07">
              <w:rPr>
                <w:rFonts w:ascii="Corbel" w:eastAsia="Times New Roman" w:hAnsi="Corbel" w:cs="Arial"/>
                <w:b/>
                <w:color w:val="000000"/>
                <w:sz w:val="20"/>
                <w:szCs w:val="20"/>
                <w:lang w:val="en-US" w:eastAsia="pl-PL"/>
              </w:rPr>
              <w:t>Unit</w:t>
            </w:r>
          </w:p>
        </w:tc>
      </w:tr>
      <w:tr w:rsidR="00BA7E8E" w:rsidRPr="00B35E07" w:rsidTr="0003713C">
        <w:trPr>
          <w:trHeight w:val="255"/>
        </w:trPr>
        <w:tc>
          <w:tcPr>
            <w:tcW w:w="5000" w:type="pct"/>
            <w:gridSpan w:val="5"/>
            <w:tcBorders>
              <w:top w:val="single" w:sz="18" w:space="0" w:color="0070C0"/>
              <w:left w:val="single" w:sz="18" w:space="0" w:color="0070C0"/>
              <w:right w:val="single" w:sz="18" w:space="0" w:color="0070C0"/>
            </w:tcBorders>
            <w:shd w:val="clear" w:color="auto" w:fill="DBE5F1" w:themeFill="accent1" w:themeFillTint="33"/>
            <w:noWrap/>
            <w:hideMark/>
          </w:tcPr>
          <w:p w:rsidR="00BA7E8E" w:rsidRPr="00B35E07" w:rsidRDefault="00BA7E8E" w:rsidP="004835EF">
            <w:pPr>
              <w:rPr>
                <w:rFonts w:ascii="Corbel" w:eastAsia="Times New Roman" w:hAnsi="Corbel" w:cs="Arial"/>
                <w:color w:val="000000"/>
                <w:sz w:val="20"/>
                <w:szCs w:val="20"/>
                <w:lang w:val="en-US" w:eastAsia="pl-PL"/>
              </w:rPr>
            </w:pPr>
            <w:r w:rsidRPr="00B35E07">
              <w:rPr>
                <w:rFonts w:ascii="Corbel" w:eastAsia="Times New Roman" w:hAnsi="Corbel" w:cs="Arial"/>
                <w:b/>
                <w:i/>
                <w:iCs/>
                <w:color w:val="17365D" w:themeColor="text2" w:themeShade="BF"/>
                <w:sz w:val="20"/>
                <w:szCs w:val="20"/>
                <w:lang w:val="en-US" w:eastAsia="pl-PL"/>
              </w:rPr>
              <w:t>Allocations</w:t>
            </w:r>
            <w:r w:rsidR="008451A0" w:rsidRPr="00B35E07">
              <w:rPr>
                <w:rFonts w:ascii="Corbel" w:eastAsia="Times New Roman" w:hAnsi="Corbel" w:cs="Arial"/>
                <w:b/>
                <w:i/>
                <w:iCs/>
                <w:color w:val="17365D" w:themeColor="text2" w:themeShade="BF"/>
                <w:sz w:val="20"/>
                <w:szCs w:val="20"/>
                <w:lang w:val="en-US" w:eastAsia="pl-PL"/>
              </w:rPr>
              <w:t xml:space="preserve"> to Regional OPs</w:t>
            </w:r>
          </w:p>
        </w:tc>
      </w:tr>
      <w:tr w:rsidR="003C750D" w:rsidRPr="00E6181A" w:rsidTr="00BF382A">
        <w:trPr>
          <w:trHeight w:val="255"/>
        </w:trPr>
        <w:tc>
          <w:tcPr>
            <w:tcW w:w="2325" w:type="pct"/>
            <w:tcBorders>
              <w:left w:val="single" w:sz="18" w:space="0" w:color="0070C0"/>
            </w:tcBorders>
            <w:noWrap/>
            <w:hideMark/>
          </w:tcPr>
          <w:p w:rsidR="003C750D" w:rsidRPr="00E6181A" w:rsidRDefault="003946EE" w:rsidP="003946EE">
            <w:pPr>
              <w:rPr>
                <w:rFonts w:ascii="Corbel" w:eastAsia="Times New Roman" w:hAnsi="Corbel" w:cs="Arial"/>
                <w:color w:val="000000"/>
                <w:sz w:val="20"/>
                <w:szCs w:val="20"/>
                <w:lang w:eastAsia="pl-PL"/>
              </w:rPr>
            </w:pPr>
            <w:proofErr w:type="spellStart"/>
            <w:r w:rsidRPr="00B35E07">
              <w:rPr>
                <w:rFonts w:ascii="Corbel" w:eastAsia="Times New Roman" w:hAnsi="Corbel" w:cs="Arial"/>
                <w:color w:val="000000"/>
                <w:sz w:val="20"/>
                <w:szCs w:val="20"/>
                <w:lang w:val="en-US" w:eastAsia="pl-PL"/>
              </w:rPr>
              <w:t>A</w:t>
            </w:r>
            <w:r w:rsidR="003C750D" w:rsidRPr="00B35E07">
              <w:rPr>
                <w:rFonts w:ascii="Corbel" w:eastAsia="Times New Roman" w:hAnsi="Corbel" w:cs="Arial"/>
                <w:color w:val="000000"/>
                <w:sz w:val="20"/>
                <w:szCs w:val="20"/>
                <w:lang w:val="en-US" w:eastAsia="pl-PL"/>
              </w:rPr>
              <w:t>llocatio</w:t>
            </w:r>
            <w:proofErr w:type="spellEnd"/>
            <w:r w:rsidR="003C750D" w:rsidRPr="00E6181A">
              <w:rPr>
                <w:rFonts w:ascii="Corbel" w:eastAsia="Times New Roman" w:hAnsi="Corbel" w:cs="Arial"/>
                <w:color w:val="000000"/>
                <w:sz w:val="20"/>
                <w:szCs w:val="20"/>
                <w:lang w:eastAsia="pl-PL"/>
              </w:rPr>
              <w:t>n 2007-2013</w:t>
            </w:r>
          </w:p>
        </w:tc>
        <w:tc>
          <w:tcPr>
            <w:tcW w:w="747" w:type="pct"/>
            <w:noWrap/>
          </w:tcPr>
          <w:p w:rsidR="003C750D" w:rsidRPr="00E6181A" w:rsidRDefault="00BF382A"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345.2</w:t>
            </w:r>
          </w:p>
        </w:tc>
        <w:tc>
          <w:tcPr>
            <w:tcW w:w="697" w:type="pct"/>
            <w:noWrap/>
          </w:tcPr>
          <w:p w:rsidR="003C750D" w:rsidRPr="00E6181A" w:rsidRDefault="00BF382A"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186.8</w:t>
            </w:r>
          </w:p>
        </w:tc>
        <w:tc>
          <w:tcPr>
            <w:tcW w:w="625" w:type="pct"/>
            <w:noWrap/>
          </w:tcPr>
          <w:p w:rsidR="003C750D" w:rsidRPr="00E6181A" w:rsidRDefault="003661B4"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906.7</w:t>
            </w:r>
          </w:p>
        </w:tc>
        <w:tc>
          <w:tcPr>
            <w:tcW w:w="607" w:type="pct"/>
            <w:tcBorders>
              <w:right w:val="single" w:sz="18" w:space="0" w:color="0070C0"/>
            </w:tcBorders>
            <w:noWrap/>
            <w:hideMark/>
          </w:tcPr>
          <w:p w:rsidR="003C750D" w:rsidRPr="00E6181A" w:rsidRDefault="003C750D" w:rsidP="004835EF">
            <w:pPr>
              <w:rPr>
                <w:rFonts w:ascii="Corbel" w:eastAsia="Times New Roman" w:hAnsi="Corbel" w:cs="Arial"/>
                <w:color w:val="000000"/>
                <w:sz w:val="20"/>
                <w:szCs w:val="20"/>
                <w:lang w:eastAsia="pl-PL"/>
              </w:rPr>
            </w:pPr>
            <w:r w:rsidRPr="00E6181A">
              <w:rPr>
                <w:rFonts w:ascii="Corbel" w:eastAsia="Times New Roman" w:hAnsi="Corbel" w:cs="Arial"/>
                <w:color w:val="000000"/>
                <w:sz w:val="20"/>
                <w:szCs w:val="20"/>
                <w:lang w:eastAsia="pl-PL"/>
              </w:rPr>
              <w:t>mln EUR</w:t>
            </w:r>
          </w:p>
        </w:tc>
      </w:tr>
      <w:tr w:rsidR="003C750D" w:rsidRPr="00E6181A" w:rsidTr="00BF382A">
        <w:trPr>
          <w:trHeight w:val="255"/>
        </w:trPr>
        <w:tc>
          <w:tcPr>
            <w:tcW w:w="2325" w:type="pct"/>
            <w:tcBorders>
              <w:left w:val="single" w:sz="18" w:space="0" w:color="0070C0"/>
            </w:tcBorders>
            <w:noWrap/>
            <w:hideMark/>
          </w:tcPr>
          <w:p w:rsidR="003C750D" w:rsidRPr="00E6181A" w:rsidRDefault="003946EE" w:rsidP="003946EE">
            <w:pPr>
              <w:rPr>
                <w:rFonts w:ascii="Corbel" w:eastAsia="Times New Roman" w:hAnsi="Corbel" w:cs="Arial"/>
                <w:color w:val="000000"/>
                <w:sz w:val="20"/>
                <w:szCs w:val="20"/>
                <w:lang w:eastAsia="pl-PL"/>
              </w:rPr>
            </w:pPr>
            <w:proofErr w:type="spellStart"/>
            <w:r>
              <w:rPr>
                <w:rFonts w:ascii="Corbel" w:eastAsia="Times New Roman" w:hAnsi="Corbel" w:cs="Arial"/>
                <w:color w:val="000000"/>
                <w:sz w:val="20"/>
                <w:szCs w:val="20"/>
                <w:lang w:eastAsia="pl-PL"/>
              </w:rPr>
              <w:t>A</w:t>
            </w:r>
            <w:r w:rsidR="003C750D" w:rsidRPr="00E6181A">
              <w:rPr>
                <w:rFonts w:ascii="Corbel" w:eastAsia="Times New Roman" w:hAnsi="Corbel" w:cs="Arial"/>
                <w:color w:val="000000"/>
                <w:sz w:val="20"/>
                <w:szCs w:val="20"/>
                <w:lang w:eastAsia="pl-PL"/>
              </w:rPr>
              <w:t>llocation</w:t>
            </w:r>
            <w:proofErr w:type="spellEnd"/>
            <w:r w:rsidR="003C750D" w:rsidRPr="00E6181A">
              <w:rPr>
                <w:rFonts w:ascii="Corbel" w:eastAsia="Times New Roman" w:hAnsi="Corbel" w:cs="Arial"/>
                <w:color w:val="000000"/>
                <w:sz w:val="20"/>
                <w:szCs w:val="20"/>
                <w:lang w:eastAsia="pl-PL"/>
              </w:rPr>
              <w:t xml:space="preserve"> 2014-2020</w:t>
            </w:r>
          </w:p>
        </w:tc>
        <w:tc>
          <w:tcPr>
            <w:tcW w:w="747" w:type="pct"/>
            <w:noWrap/>
          </w:tcPr>
          <w:p w:rsidR="003C750D" w:rsidRPr="00E6181A" w:rsidRDefault="00BF382A"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189.8</w:t>
            </w:r>
          </w:p>
        </w:tc>
        <w:tc>
          <w:tcPr>
            <w:tcW w:w="697" w:type="pct"/>
            <w:noWrap/>
          </w:tcPr>
          <w:p w:rsidR="003C750D" w:rsidRPr="00E6181A" w:rsidRDefault="00BF382A"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113.6</w:t>
            </w:r>
          </w:p>
        </w:tc>
        <w:tc>
          <w:tcPr>
            <w:tcW w:w="625" w:type="pct"/>
            <w:noWrap/>
          </w:tcPr>
          <w:p w:rsidR="003C750D" w:rsidRPr="00E6181A" w:rsidRDefault="003661B4"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507.3</w:t>
            </w:r>
          </w:p>
        </w:tc>
        <w:tc>
          <w:tcPr>
            <w:tcW w:w="607" w:type="pct"/>
            <w:tcBorders>
              <w:right w:val="single" w:sz="18" w:space="0" w:color="0070C0"/>
            </w:tcBorders>
            <w:noWrap/>
            <w:hideMark/>
          </w:tcPr>
          <w:p w:rsidR="003C750D" w:rsidRPr="00E6181A" w:rsidRDefault="003C750D" w:rsidP="004835EF">
            <w:pPr>
              <w:rPr>
                <w:rFonts w:ascii="Corbel" w:eastAsia="Times New Roman" w:hAnsi="Corbel" w:cs="Arial"/>
                <w:color w:val="000000"/>
                <w:sz w:val="20"/>
                <w:szCs w:val="20"/>
                <w:lang w:eastAsia="pl-PL"/>
              </w:rPr>
            </w:pPr>
            <w:r w:rsidRPr="00E6181A">
              <w:rPr>
                <w:rFonts w:ascii="Corbel" w:eastAsia="Times New Roman" w:hAnsi="Corbel" w:cs="Arial"/>
                <w:color w:val="000000"/>
                <w:sz w:val="20"/>
                <w:szCs w:val="20"/>
                <w:lang w:eastAsia="pl-PL"/>
              </w:rPr>
              <w:t>mln EUR</w:t>
            </w:r>
          </w:p>
        </w:tc>
      </w:tr>
      <w:tr w:rsidR="003C750D" w:rsidRPr="00E6181A" w:rsidTr="00BF382A">
        <w:trPr>
          <w:trHeight w:val="255"/>
        </w:trPr>
        <w:tc>
          <w:tcPr>
            <w:tcW w:w="2325" w:type="pct"/>
            <w:tcBorders>
              <w:left w:val="single" w:sz="18" w:space="0" w:color="0070C0"/>
            </w:tcBorders>
            <w:noWrap/>
            <w:hideMark/>
          </w:tcPr>
          <w:p w:rsidR="003C750D" w:rsidRPr="00E6181A" w:rsidRDefault="003946EE" w:rsidP="003946EE">
            <w:pPr>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Ratio</w:t>
            </w:r>
            <w:r w:rsidRPr="00E6181A">
              <w:rPr>
                <w:rFonts w:ascii="Corbel" w:eastAsia="Times New Roman" w:hAnsi="Corbel" w:cs="Arial"/>
                <w:color w:val="000000"/>
                <w:sz w:val="20"/>
                <w:szCs w:val="20"/>
                <w:lang w:eastAsia="pl-PL"/>
              </w:rPr>
              <w:t xml:space="preserve"> [</w:t>
            </w:r>
            <w:r>
              <w:rPr>
                <w:rFonts w:ascii="Corbel" w:eastAsia="Times New Roman" w:hAnsi="Corbel" w:cs="Arial"/>
                <w:color w:val="000000"/>
                <w:sz w:val="20"/>
                <w:szCs w:val="20"/>
                <w:lang w:eastAsia="pl-PL"/>
              </w:rPr>
              <w:t xml:space="preserve">period 2014-2020 to </w:t>
            </w:r>
            <w:r w:rsidRPr="00E6181A">
              <w:rPr>
                <w:rFonts w:ascii="Corbel" w:eastAsia="Times New Roman" w:hAnsi="Corbel" w:cs="Arial"/>
                <w:color w:val="000000"/>
                <w:sz w:val="20"/>
                <w:szCs w:val="20"/>
                <w:lang w:eastAsia="pl-PL"/>
              </w:rPr>
              <w:t>20</w:t>
            </w:r>
            <w:r>
              <w:rPr>
                <w:rFonts w:ascii="Corbel" w:eastAsia="Times New Roman" w:hAnsi="Corbel" w:cs="Arial"/>
                <w:color w:val="000000"/>
                <w:sz w:val="20"/>
                <w:szCs w:val="20"/>
                <w:lang w:eastAsia="pl-PL"/>
              </w:rPr>
              <w:t>07</w:t>
            </w:r>
            <w:r w:rsidRPr="00E6181A">
              <w:rPr>
                <w:rFonts w:ascii="Corbel" w:eastAsia="Times New Roman" w:hAnsi="Corbel" w:cs="Arial"/>
                <w:color w:val="000000"/>
                <w:sz w:val="20"/>
                <w:szCs w:val="20"/>
                <w:lang w:eastAsia="pl-PL"/>
              </w:rPr>
              <w:t>-20</w:t>
            </w:r>
            <w:r>
              <w:rPr>
                <w:rFonts w:ascii="Corbel" w:eastAsia="Times New Roman" w:hAnsi="Corbel" w:cs="Arial"/>
                <w:color w:val="000000"/>
                <w:sz w:val="20"/>
                <w:szCs w:val="20"/>
                <w:lang w:eastAsia="pl-PL"/>
              </w:rPr>
              <w:t>13</w:t>
            </w:r>
            <w:r w:rsidRPr="00E6181A">
              <w:rPr>
                <w:rFonts w:ascii="Corbel" w:eastAsia="Times New Roman" w:hAnsi="Corbel" w:cs="Arial"/>
                <w:color w:val="000000"/>
                <w:sz w:val="20"/>
                <w:szCs w:val="20"/>
                <w:lang w:eastAsia="pl-PL"/>
              </w:rPr>
              <w:t>]</w:t>
            </w:r>
          </w:p>
        </w:tc>
        <w:tc>
          <w:tcPr>
            <w:tcW w:w="747" w:type="pct"/>
            <w:noWrap/>
          </w:tcPr>
          <w:p w:rsidR="003C750D" w:rsidRPr="00E6181A" w:rsidRDefault="00BF382A" w:rsidP="00BF38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0.55</w:t>
            </w:r>
          </w:p>
        </w:tc>
        <w:tc>
          <w:tcPr>
            <w:tcW w:w="697" w:type="pct"/>
            <w:noWrap/>
          </w:tcPr>
          <w:p w:rsidR="003C750D" w:rsidRPr="00E6181A" w:rsidRDefault="00BF382A"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0.61</w:t>
            </w:r>
          </w:p>
        </w:tc>
        <w:tc>
          <w:tcPr>
            <w:tcW w:w="625" w:type="pct"/>
            <w:noWrap/>
          </w:tcPr>
          <w:p w:rsidR="003C750D" w:rsidRPr="00E6181A" w:rsidRDefault="003661B4"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0.56</w:t>
            </w:r>
          </w:p>
        </w:tc>
        <w:tc>
          <w:tcPr>
            <w:tcW w:w="607" w:type="pct"/>
            <w:tcBorders>
              <w:right w:val="single" w:sz="18" w:space="0" w:color="0070C0"/>
            </w:tcBorders>
            <w:noWrap/>
            <w:hideMark/>
          </w:tcPr>
          <w:p w:rsidR="003C750D" w:rsidRPr="00E6181A" w:rsidRDefault="00BA7E8E" w:rsidP="004835EF">
            <w:pPr>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ratio</w:t>
            </w:r>
          </w:p>
        </w:tc>
      </w:tr>
      <w:tr w:rsidR="00BA7E8E" w:rsidRPr="00412E25" w:rsidTr="0003713C">
        <w:trPr>
          <w:trHeight w:val="255"/>
        </w:trPr>
        <w:tc>
          <w:tcPr>
            <w:tcW w:w="5000" w:type="pct"/>
            <w:gridSpan w:val="5"/>
            <w:tcBorders>
              <w:top w:val="single" w:sz="18" w:space="0" w:color="0070C0"/>
              <w:left w:val="single" w:sz="18" w:space="0" w:color="0070C0"/>
              <w:right w:val="single" w:sz="18" w:space="0" w:color="0070C0"/>
            </w:tcBorders>
            <w:shd w:val="clear" w:color="auto" w:fill="DBE5F1" w:themeFill="accent1" w:themeFillTint="33"/>
            <w:noWrap/>
            <w:hideMark/>
          </w:tcPr>
          <w:p w:rsidR="00BA7E8E" w:rsidRPr="004A7819" w:rsidRDefault="00BA7E8E" w:rsidP="004835EF">
            <w:pPr>
              <w:rPr>
                <w:rFonts w:ascii="Corbel" w:eastAsia="Times New Roman" w:hAnsi="Corbel" w:cs="Arial"/>
                <w:color w:val="000000"/>
                <w:sz w:val="20"/>
                <w:szCs w:val="20"/>
                <w:lang w:val="en-US" w:eastAsia="pl-PL"/>
              </w:rPr>
            </w:pPr>
            <w:r w:rsidRPr="004A7819">
              <w:rPr>
                <w:rFonts w:ascii="Corbel" w:eastAsia="Times New Roman" w:hAnsi="Corbel" w:cs="Arial"/>
                <w:b/>
                <w:i/>
                <w:iCs/>
                <w:color w:val="17365D" w:themeColor="text2" w:themeShade="BF"/>
                <w:sz w:val="20"/>
                <w:szCs w:val="20"/>
                <w:lang w:val="en-US" w:eastAsia="pl-PL"/>
              </w:rPr>
              <w:t>Reported achievements</w:t>
            </w:r>
            <w:r w:rsidR="00412E25">
              <w:rPr>
                <w:rFonts w:ascii="Corbel" w:eastAsia="Times New Roman" w:hAnsi="Corbel" w:cs="Arial"/>
                <w:b/>
                <w:i/>
                <w:iCs/>
                <w:color w:val="17365D" w:themeColor="text2" w:themeShade="BF"/>
                <w:sz w:val="20"/>
                <w:szCs w:val="20"/>
                <w:lang w:val="en-US" w:eastAsia="pl-PL"/>
              </w:rPr>
              <w:t>:</w:t>
            </w:r>
            <w:bookmarkStart w:id="0" w:name="_GoBack"/>
            <w:bookmarkEnd w:id="0"/>
            <w:r w:rsidRPr="004A7819">
              <w:rPr>
                <w:rFonts w:ascii="Corbel" w:eastAsia="Times New Roman" w:hAnsi="Corbel" w:cs="Arial"/>
                <w:b/>
                <w:i/>
                <w:iCs/>
                <w:color w:val="17365D" w:themeColor="text2" w:themeShade="BF"/>
                <w:sz w:val="20"/>
                <w:szCs w:val="20"/>
                <w:lang w:val="en-US" w:eastAsia="pl-PL"/>
              </w:rPr>
              <w:t xml:space="preserve"> period 2007-2013 </w:t>
            </w:r>
            <w:r w:rsidR="004A7819" w:rsidRPr="004A7819">
              <w:rPr>
                <w:rFonts w:ascii="Corbel" w:eastAsia="Times New Roman" w:hAnsi="Corbel" w:cs="Arial"/>
                <w:b/>
                <w:i/>
                <w:iCs/>
                <w:color w:val="17365D" w:themeColor="text2" w:themeShade="BF"/>
                <w:sz w:val="20"/>
                <w:szCs w:val="20"/>
                <w:lang w:val="en-US" w:eastAsia="pl-PL"/>
              </w:rPr>
              <w:t xml:space="preserve"> </w:t>
            </w:r>
            <w:r w:rsidRPr="004A7819">
              <w:rPr>
                <w:rFonts w:ascii="Corbel" w:eastAsia="Times New Roman" w:hAnsi="Corbel" w:cs="Arial"/>
                <w:b/>
                <w:i/>
                <w:iCs/>
                <w:color w:val="17365D" w:themeColor="text2" w:themeShade="BF"/>
                <w:sz w:val="20"/>
                <w:szCs w:val="20"/>
                <w:lang w:val="en-US" w:eastAsia="pl-PL"/>
              </w:rPr>
              <w:t>[</w:t>
            </w:r>
            <w:r w:rsidR="004A7819" w:rsidRPr="004A7819">
              <w:rPr>
                <w:rFonts w:ascii="Corbel" w:eastAsia="Times New Roman" w:hAnsi="Corbel" w:cs="Arial"/>
                <w:b/>
                <w:i/>
                <w:iCs/>
                <w:color w:val="17365D" w:themeColor="text2" w:themeShade="BF"/>
                <w:sz w:val="20"/>
                <w:szCs w:val="20"/>
                <w:lang w:val="en-US" w:eastAsia="pl-PL"/>
              </w:rPr>
              <w:t>as</w:t>
            </w:r>
            <w:r w:rsidRPr="004A7819">
              <w:rPr>
                <w:rFonts w:ascii="Corbel" w:eastAsia="Times New Roman" w:hAnsi="Corbel" w:cs="Arial"/>
                <w:b/>
                <w:i/>
                <w:iCs/>
                <w:color w:val="17365D" w:themeColor="text2" w:themeShade="BF"/>
                <w:sz w:val="20"/>
                <w:szCs w:val="20"/>
                <w:lang w:val="en-US" w:eastAsia="pl-PL"/>
              </w:rPr>
              <w:t xml:space="preserve"> in 2013]</w:t>
            </w:r>
          </w:p>
        </w:tc>
      </w:tr>
      <w:tr w:rsidR="003C750D" w:rsidRPr="00E6181A" w:rsidTr="00BF382A">
        <w:trPr>
          <w:trHeight w:val="255"/>
        </w:trPr>
        <w:tc>
          <w:tcPr>
            <w:tcW w:w="2325" w:type="pct"/>
            <w:tcBorders>
              <w:left w:val="single" w:sz="18" w:space="0" w:color="0070C0"/>
            </w:tcBorders>
            <w:noWrap/>
            <w:hideMark/>
          </w:tcPr>
          <w:p w:rsidR="003C750D" w:rsidRPr="00E6181A" w:rsidRDefault="000B775D" w:rsidP="004835EF">
            <w:pPr>
              <w:rPr>
                <w:rFonts w:ascii="Corbel" w:eastAsia="Times New Roman" w:hAnsi="Corbel" w:cs="Arial"/>
                <w:color w:val="000000"/>
                <w:sz w:val="20"/>
                <w:szCs w:val="20"/>
                <w:lang w:eastAsia="pl-PL"/>
              </w:rPr>
            </w:pPr>
            <w:proofErr w:type="spellStart"/>
            <w:r>
              <w:rPr>
                <w:rFonts w:ascii="Corbel" w:eastAsia="Times New Roman" w:hAnsi="Corbel" w:cs="Arial"/>
                <w:color w:val="000000"/>
                <w:sz w:val="20"/>
                <w:szCs w:val="20"/>
                <w:lang w:eastAsia="pl-PL"/>
              </w:rPr>
              <w:t>Jobs</w:t>
            </w:r>
            <w:proofErr w:type="spellEnd"/>
            <w:r>
              <w:rPr>
                <w:rFonts w:ascii="Corbel" w:eastAsia="Times New Roman" w:hAnsi="Corbel" w:cs="Arial"/>
                <w:color w:val="000000"/>
                <w:sz w:val="20"/>
                <w:szCs w:val="20"/>
                <w:lang w:eastAsia="pl-PL"/>
              </w:rPr>
              <w:t xml:space="preserve"> </w:t>
            </w:r>
            <w:proofErr w:type="spellStart"/>
            <w:r>
              <w:rPr>
                <w:rFonts w:ascii="Corbel" w:eastAsia="Times New Roman" w:hAnsi="Corbel" w:cs="Arial"/>
                <w:color w:val="000000"/>
                <w:sz w:val="20"/>
                <w:szCs w:val="20"/>
                <w:lang w:eastAsia="pl-PL"/>
              </w:rPr>
              <w:t>created</w:t>
            </w:r>
            <w:proofErr w:type="spellEnd"/>
          </w:p>
        </w:tc>
        <w:tc>
          <w:tcPr>
            <w:tcW w:w="747" w:type="pct"/>
            <w:noWrap/>
          </w:tcPr>
          <w:p w:rsidR="003C750D" w:rsidRPr="00E6181A" w:rsidRDefault="00BF382A"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5360</w:t>
            </w:r>
          </w:p>
        </w:tc>
        <w:tc>
          <w:tcPr>
            <w:tcW w:w="697" w:type="pct"/>
            <w:noWrap/>
          </w:tcPr>
          <w:p w:rsidR="003C750D" w:rsidRPr="00E6181A" w:rsidRDefault="00BF382A" w:rsidP="00DE4BCB">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4026</w:t>
            </w:r>
          </w:p>
        </w:tc>
        <w:tc>
          <w:tcPr>
            <w:tcW w:w="625" w:type="pct"/>
            <w:noWrap/>
          </w:tcPr>
          <w:p w:rsidR="003C750D" w:rsidRPr="00E6181A" w:rsidRDefault="00BF382A"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18518</w:t>
            </w:r>
          </w:p>
        </w:tc>
        <w:tc>
          <w:tcPr>
            <w:tcW w:w="607" w:type="pct"/>
            <w:tcBorders>
              <w:right w:val="single" w:sz="18" w:space="0" w:color="0070C0"/>
            </w:tcBorders>
            <w:noWrap/>
            <w:hideMark/>
          </w:tcPr>
          <w:p w:rsidR="003C750D" w:rsidRPr="00E6181A" w:rsidRDefault="003C750D" w:rsidP="004835EF">
            <w:pPr>
              <w:rPr>
                <w:rFonts w:ascii="Corbel" w:eastAsia="Times New Roman" w:hAnsi="Corbel" w:cs="Arial"/>
                <w:color w:val="000000"/>
                <w:sz w:val="20"/>
                <w:szCs w:val="20"/>
                <w:lang w:eastAsia="pl-PL"/>
              </w:rPr>
            </w:pPr>
            <w:proofErr w:type="spellStart"/>
            <w:r w:rsidRPr="00E6181A">
              <w:rPr>
                <w:rFonts w:ascii="Corbel" w:eastAsia="Times New Roman" w:hAnsi="Corbel" w:cs="Arial"/>
                <w:color w:val="000000"/>
                <w:sz w:val="20"/>
                <w:szCs w:val="20"/>
                <w:lang w:eastAsia="pl-PL"/>
              </w:rPr>
              <w:t>jobs</w:t>
            </w:r>
            <w:proofErr w:type="spellEnd"/>
          </w:p>
        </w:tc>
      </w:tr>
      <w:tr w:rsidR="003C750D" w:rsidRPr="00E6181A" w:rsidTr="00BF382A">
        <w:trPr>
          <w:trHeight w:val="255"/>
        </w:trPr>
        <w:tc>
          <w:tcPr>
            <w:tcW w:w="2325" w:type="pct"/>
            <w:tcBorders>
              <w:left w:val="single" w:sz="18" w:space="0" w:color="0070C0"/>
            </w:tcBorders>
            <w:noWrap/>
            <w:hideMark/>
          </w:tcPr>
          <w:p w:rsidR="003C750D" w:rsidRPr="00E6181A" w:rsidRDefault="003946EE" w:rsidP="004835EF">
            <w:pPr>
              <w:rPr>
                <w:rFonts w:ascii="Corbel" w:eastAsia="Times New Roman" w:hAnsi="Corbel" w:cs="Arial"/>
                <w:color w:val="000000"/>
                <w:sz w:val="20"/>
                <w:szCs w:val="20"/>
                <w:lang w:val="en-US" w:eastAsia="pl-PL"/>
              </w:rPr>
            </w:pPr>
            <w:r>
              <w:rPr>
                <w:rFonts w:ascii="Corbel" w:eastAsia="Times New Roman" w:hAnsi="Corbel" w:cs="Arial"/>
                <w:color w:val="000000"/>
                <w:sz w:val="20"/>
                <w:szCs w:val="20"/>
                <w:lang w:val="en-US" w:eastAsia="pl-PL"/>
              </w:rPr>
              <w:t>S</w:t>
            </w:r>
            <w:r w:rsidR="003C750D" w:rsidRPr="00E6181A">
              <w:rPr>
                <w:rFonts w:ascii="Corbel" w:eastAsia="Times New Roman" w:hAnsi="Corbel" w:cs="Arial"/>
                <w:color w:val="000000"/>
                <w:sz w:val="20"/>
                <w:szCs w:val="20"/>
                <w:lang w:val="en-US" w:eastAsia="pl-PL"/>
              </w:rPr>
              <w:t>tart-ups supported</w:t>
            </w:r>
          </w:p>
        </w:tc>
        <w:tc>
          <w:tcPr>
            <w:tcW w:w="747" w:type="pct"/>
            <w:noWrap/>
          </w:tcPr>
          <w:p w:rsidR="003C750D" w:rsidRPr="00E6181A" w:rsidRDefault="00BF382A"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2597</w:t>
            </w:r>
          </w:p>
        </w:tc>
        <w:tc>
          <w:tcPr>
            <w:tcW w:w="697" w:type="pct"/>
            <w:noWrap/>
          </w:tcPr>
          <w:p w:rsidR="003C750D" w:rsidRPr="00E6181A" w:rsidRDefault="00BF382A"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1884</w:t>
            </w:r>
          </w:p>
        </w:tc>
        <w:tc>
          <w:tcPr>
            <w:tcW w:w="625" w:type="pct"/>
            <w:noWrap/>
          </w:tcPr>
          <w:p w:rsidR="003C750D" w:rsidRPr="00E6181A" w:rsidRDefault="00BF382A"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6072</w:t>
            </w:r>
          </w:p>
        </w:tc>
        <w:tc>
          <w:tcPr>
            <w:tcW w:w="607" w:type="pct"/>
            <w:tcBorders>
              <w:right w:val="single" w:sz="18" w:space="0" w:color="0070C0"/>
            </w:tcBorders>
            <w:noWrap/>
            <w:hideMark/>
          </w:tcPr>
          <w:p w:rsidR="003C750D" w:rsidRPr="00E6181A" w:rsidRDefault="003946EE" w:rsidP="004835EF">
            <w:pPr>
              <w:rPr>
                <w:rFonts w:ascii="Corbel" w:eastAsia="Times New Roman" w:hAnsi="Corbel" w:cs="Arial"/>
                <w:color w:val="000000"/>
                <w:sz w:val="20"/>
                <w:szCs w:val="20"/>
                <w:lang w:eastAsia="pl-PL"/>
              </w:rPr>
            </w:pPr>
            <w:proofErr w:type="spellStart"/>
            <w:r>
              <w:rPr>
                <w:rFonts w:ascii="Corbel" w:eastAsia="Times New Roman" w:hAnsi="Corbel" w:cs="Arial"/>
                <w:color w:val="000000"/>
                <w:sz w:val="20"/>
                <w:szCs w:val="20"/>
                <w:lang w:eastAsia="pl-PL"/>
              </w:rPr>
              <w:t>number</w:t>
            </w:r>
            <w:proofErr w:type="spellEnd"/>
          </w:p>
        </w:tc>
      </w:tr>
      <w:tr w:rsidR="003C750D" w:rsidRPr="004D208B" w:rsidTr="00BF382A">
        <w:trPr>
          <w:trHeight w:val="255"/>
        </w:trPr>
        <w:tc>
          <w:tcPr>
            <w:tcW w:w="2325" w:type="pct"/>
            <w:tcBorders>
              <w:left w:val="single" w:sz="18" w:space="0" w:color="0070C0"/>
            </w:tcBorders>
            <w:noWrap/>
          </w:tcPr>
          <w:p w:rsidR="003C750D" w:rsidRPr="004D208B" w:rsidRDefault="00E37485" w:rsidP="006C487E">
            <w:pPr>
              <w:rPr>
                <w:rFonts w:ascii="Corbel" w:eastAsia="Times New Roman" w:hAnsi="Corbel" w:cs="Arial"/>
                <w:color w:val="000000"/>
                <w:sz w:val="20"/>
                <w:szCs w:val="20"/>
                <w:lang w:val="en-US" w:eastAsia="pl-PL"/>
              </w:rPr>
            </w:pPr>
            <w:r>
              <w:rPr>
                <w:rFonts w:ascii="Corbel" w:eastAsia="Times New Roman" w:hAnsi="Corbel" w:cs="Arial"/>
                <w:color w:val="000000"/>
                <w:sz w:val="20"/>
                <w:szCs w:val="20"/>
                <w:lang w:val="en-US" w:eastAsia="pl-PL"/>
              </w:rPr>
              <w:t xml:space="preserve">Area of business parks </w:t>
            </w:r>
            <w:proofErr w:type="spellStart"/>
            <w:r>
              <w:rPr>
                <w:rFonts w:ascii="Corbel" w:eastAsia="Times New Roman" w:hAnsi="Corbel" w:cs="Arial"/>
                <w:color w:val="000000"/>
                <w:sz w:val="20"/>
                <w:szCs w:val="20"/>
                <w:lang w:val="en-US" w:eastAsia="pl-PL"/>
              </w:rPr>
              <w:t>modernised</w:t>
            </w:r>
            <w:proofErr w:type="spellEnd"/>
          </w:p>
        </w:tc>
        <w:tc>
          <w:tcPr>
            <w:tcW w:w="747" w:type="pct"/>
            <w:noWrap/>
          </w:tcPr>
          <w:p w:rsidR="003C750D" w:rsidRPr="004D208B" w:rsidRDefault="00E37485" w:rsidP="004835EF">
            <w:pPr>
              <w:jc w:val="right"/>
              <w:rPr>
                <w:rFonts w:ascii="Corbel" w:eastAsia="Times New Roman" w:hAnsi="Corbel" w:cs="Arial"/>
                <w:color w:val="000000"/>
                <w:sz w:val="20"/>
                <w:szCs w:val="20"/>
                <w:lang w:val="en-US" w:eastAsia="pl-PL"/>
              </w:rPr>
            </w:pPr>
            <w:r>
              <w:rPr>
                <w:rFonts w:ascii="Corbel" w:eastAsia="Times New Roman" w:hAnsi="Corbel" w:cs="Arial"/>
                <w:color w:val="000000"/>
                <w:sz w:val="20"/>
                <w:szCs w:val="20"/>
                <w:lang w:val="en-US" w:eastAsia="pl-PL"/>
              </w:rPr>
              <w:t>108</w:t>
            </w:r>
          </w:p>
        </w:tc>
        <w:tc>
          <w:tcPr>
            <w:tcW w:w="697" w:type="pct"/>
            <w:noWrap/>
          </w:tcPr>
          <w:p w:rsidR="003C750D" w:rsidRPr="004D208B" w:rsidRDefault="003661B4" w:rsidP="004835EF">
            <w:pPr>
              <w:jc w:val="right"/>
              <w:rPr>
                <w:rFonts w:ascii="Corbel" w:eastAsia="Times New Roman" w:hAnsi="Corbel" w:cs="Arial"/>
                <w:color w:val="000000"/>
                <w:sz w:val="20"/>
                <w:szCs w:val="20"/>
                <w:lang w:val="en-US" w:eastAsia="pl-PL"/>
              </w:rPr>
            </w:pPr>
            <w:r>
              <w:rPr>
                <w:rFonts w:ascii="Corbel" w:eastAsia="Times New Roman" w:hAnsi="Corbel" w:cs="Arial"/>
                <w:color w:val="000000"/>
                <w:sz w:val="20"/>
                <w:szCs w:val="20"/>
                <w:lang w:val="en-US" w:eastAsia="pl-PL"/>
              </w:rPr>
              <w:t>447</w:t>
            </w:r>
          </w:p>
        </w:tc>
        <w:tc>
          <w:tcPr>
            <w:tcW w:w="625" w:type="pct"/>
            <w:noWrap/>
          </w:tcPr>
          <w:p w:rsidR="003C750D" w:rsidRPr="004D208B" w:rsidRDefault="00BF382A" w:rsidP="004835EF">
            <w:pPr>
              <w:jc w:val="right"/>
              <w:rPr>
                <w:rFonts w:ascii="Corbel" w:eastAsia="Times New Roman" w:hAnsi="Corbel" w:cs="Arial"/>
                <w:color w:val="000000"/>
                <w:sz w:val="20"/>
                <w:szCs w:val="20"/>
                <w:lang w:val="en-US" w:eastAsia="pl-PL"/>
              </w:rPr>
            </w:pPr>
            <w:r>
              <w:rPr>
                <w:rFonts w:ascii="Corbel" w:eastAsia="Times New Roman" w:hAnsi="Corbel" w:cs="Arial"/>
                <w:color w:val="000000"/>
                <w:sz w:val="20"/>
                <w:szCs w:val="20"/>
                <w:lang w:val="en-US" w:eastAsia="pl-PL"/>
              </w:rPr>
              <w:t>no data</w:t>
            </w:r>
          </w:p>
        </w:tc>
        <w:tc>
          <w:tcPr>
            <w:tcW w:w="607" w:type="pct"/>
            <w:tcBorders>
              <w:right w:val="single" w:sz="18" w:space="0" w:color="0070C0"/>
            </w:tcBorders>
            <w:noWrap/>
          </w:tcPr>
          <w:p w:rsidR="003C750D" w:rsidRPr="004D208B" w:rsidRDefault="00E37485" w:rsidP="004835EF">
            <w:pPr>
              <w:rPr>
                <w:rFonts w:ascii="Corbel" w:eastAsia="Times New Roman" w:hAnsi="Corbel" w:cs="Arial"/>
                <w:color w:val="000000"/>
                <w:sz w:val="20"/>
                <w:szCs w:val="20"/>
                <w:lang w:val="en-US" w:eastAsia="pl-PL"/>
              </w:rPr>
            </w:pPr>
            <w:r>
              <w:rPr>
                <w:rFonts w:ascii="Corbel" w:eastAsia="Times New Roman" w:hAnsi="Corbel" w:cs="Arial"/>
                <w:color w:val="000000"/>
                <w:sz w:val="20"/>
                <w:szCs w:val="20"/>
                <w:lang w:val="en-US" w:eastAsia="pl-PL"/>
              </w:rPr>
              <w:t>ha</w:t>
            </w:r>
          </w:p>
        </w:tc>
      </w:tr>
      <w:tr w:rsidR="006C487E" w:rsidRPr="004D208B" w:rsidTr="00BF382A">
        <w:trPr>
          <w:trHeight w:val="255"/>
        </w:trPr>
        <w:tc>
          <w:tcPr>
            <w:tcW w:w="2325" w:type="pct"/>
            <w:tcBorders>
              <w:left w:val="single" w:sz="18" w:space="0" w:color="0070C0"/>
            </w:tcBorders>
            <w:noWrap/>
          </w:tcPr>
          <w:p w:rsidR="006C487E" w:rsidRPr="004D208B" w:rsidRDefault="006C487E" w:rsidP="006C487E">
            <w:pPr>
              <w:rPr>
                <w:rFonts w:ascii="Corbel" w:eastAsia="Times New Roman" w:hAnsi="Corbel" w:cs="Arial"/>
                <w:color w:val="000000"/>
                <w:sz w:val="20"/>
                <w:szCs w:val="20"/>
                <w:lang w:val="en-US" w:eastAsia="pl-PL"/>
              </w:rPr>
            </w:pPr>
            <w:r>
              <w:rPr>
                <w:rFonts w:ascii="Corbel" w:eastAsia="Times New Roman" w:hAnsi="Corbel" w:cs="Arial"/>
                <w:color w:val="000000"/>
                <w:sz w:val="20"/>
                <w:szCs w:val="20"/>
                <w:lang w:val="en-US" w:eastAsia="pl-PL"/>
              </w:rPr>
              <w:t>C</w:t>
            </w:r>
            <w:r w:rsidRPr="006C487E">
              <w:rPr>
                <w:rFonts w:ascii="Corbel" w:eastAsia="Times New Roman" w:hAnsi="Corbel" w:cs="Arial"/>
                <w:color w:val="000000"/>
                <w:sz w:val="20"/>
                <w:szCs w:val="20"/>
                <w:lang w:val="en-US" w:eastAsia="pl-PL"/>
              </w:rPr>
              <w:t>ooperation project</w:t>
            </w:r>
            <w:r>
              <w:rPr>
                <w:rFonts w:ascii="Corbel" w:eastAsia="Times New Roman" w:hAnsi="Corbel" w:cs="Arial"/>
                <w:color w:val="000000"/>
                <w:sz w:val="20"/>
                <w:szCs w:val="20"/>
                <w:lang w:val="en-US" w:eastAsia="pl-PL"/>
              </w:rPr>
              <w:t>s</w:t>
            </w:r>
            <w:r w:rsidRPr="006C487E">
              <w:rPr>
                <w:rFonts w:ascii="Corbel" w:eastAsia="Times New Roman" w:hAnsi="Corbel" w:cs="Arial"/>
                <w:color w:val="000000"/>
                <w:sz w:val="20"/>
                <w:szCs w:val="20"/>
                <w:lang w:val="en-US" w:eastAsia="pl-PL"/>
              </w:rPr>
              <w:t xml:space="preserve"> enterprises-research institutions</w:t>
            </w:r>
          </w:p>
        </w:tc>
        <w:tc>
          <w:tcPr>
            <w:tcW w:w="747" w:type="pct"/>
            <w:noWrap/>
          </w:tcPr>
          <w:p w:rsidR="006C487E" w:rsidRDefault="00BF382A" w:rsidP="004835EF">
            <w:pPr>
              <w:jc w:val="right"/>
              <w:rPr>
                <w:rFonts w:ascii="Corbel" w:eastAsia="Times New Roman" w:hAnsi="Corbel" w:cs="Arial"/>
                <w:color w:val="000000"/>
                <w:sz w:val="20"/>
                <w:szCs w:val="20"/>
                <w:lang w:val="en-US" w:eastAsia="pl-PL"/>
              </w:rPr>
            </w:pPr>
            <w:r>
              <w:rPr>
                <w:rFonts w:ascii="Corbel" w:eastAsia="Times New Roman" w:hAnsi="Corbel" w:cs="Arial"/>
                <w:color w:val="000000"/>
                <w:sz w:val="20"/>
                <w:szCs w:val="20"/>
                <w:lang w:val="en-US" w:eastAsia="pl-PL"/>
              </w:rPr>
              <w:t>79</w:t>
            </w:r>
          </w:p>
        </w:tc>
        <w:tc>
          <w:tcPr>
            <w:tcW w:w="697" w:type="pct"/>
            <w:noWrap/>
          </w:tcPr>
          <w:p w:rsidR="006C487E" w:rsidRDefault="00BF382A" w:rsidP="004835EF">
            <w:pPr>
              <w:jc w:val="right"/>
              <w:rPr>
                <w:rFonts w:ascii="Corbel" w:eastAsia="Times New Roman" w:hAnsi="Corbel" w:cs="Arial"/>
                <w:color w:val="000000"/>
                <w:sz w:val="20"/>
                <w:szCs w:val="20"/>
                <w:lang w:val="en-US" w:eastAsia="pl-PL"/>
              </w:rPr>
            </w:pPr>
            <w:r>
              <w:rPr>
                <w:rFonts w:ascii="Corbel" w:eastAsia="Times New Roman" w:hAnsi="Corbel" w:cs="Arial"/>
                <w:color w:val="000000"/>
                <w:sz w:val="20"/>
                <w:szCs w:val="20"/>
                <w:lang w:val="en-US" w:eastAsia="pl-PL"/>
              </w:rPr>
              <w:t>141</w:t>
            </w:r>
          </w:p>
        </w:tc>
        <w:tc>
          <w:tcPr>
            <w:tcW w:w="625" w:type="pct"/>
            <w:noWrap/>
          </w:tcPr>
          <w:p w:rsidR="006C487E" w:rsidRDefault="00BF382A" w:rsidP="004835EF">
            <w:pPr>
              <w:jc w:val="right"/>
              <w:rPr>
                <w:rFonts w:ascii="Corbel" w:eastAsia="Times New Roman" w:hAnsi="Corbel" w:cs="Arial"/>
                <w:color w:val="000000"/>
                <w:sz w:val="20"/>
                <w:szCs w:val="20"/>
                <w:lang w:val="en-US" w:eastAsia="pl-PL"/>
              </w:rPr>
            </w:pPr>
            <w:r>
              <w:rPr>
                <w:rFonts w:ascii="Corbel" w:eastAsia="Times New Roman" w:hAnsi="Corbel" w:cs="Arial"/>
                <w:color w:val="000000"/>
                <w:sz w:val="20"/>
                <w:szCs w:val="20"/>
                <w:lang w:val="en-US" w:eastAsia="pl-PL"/>
              </w:rPr>
              <w:t>519</w:t>
            </w:r>
          </w:p>
        </w:tc>
        <w:tc>
          <w:tcPr>
            <w:tcW w:w="607" w:type="pct"/>
            <w:tcBorders>
              <w:right w:val="single" w:sz="18" w:space="0" w:color="0070C0"/>
            </w:tcBorders>
            <w:noWrap/>
          </w:tcPr>
          <w:p w:rsidR="006C487E" w:rsidRDefault="006C487E" w:rsidP="004835EF">
            <w:pPr>
              <w:rPr>
                <w:rFonts w:ascii="Corbel" w:eastAsia="Times New Roman" w:hAnsi="Corbel" w:cs="Arial"/>
                <w:color w:val="000000"/>
                <w:sz w:val="20"/>
                <w:szCs w:val="20"/>
                <w:lang w:val="en-US" w:eastAsia="pl-PL"/>
              </w:rPr>
            </w:pPr>
            <w:r>
              <w:rPr>
                <w:rFonts w:ascii="Corbel" w:eastAsia="Times New Roman" w:hAnsi="Corbel" w:cs="Arial"/>
                <w:color w:val="000000"/>
                <w:sz w:val="20"/>
                <w:szCs w:val="20"/>
                <w:lang w:val="en-US" w:eastAsia="pl-PL"/>
              </w:rPr>
              <w:t>projects</w:t>
            </w:r>
          </w:p>
        </w:tc>
      </w:tr>
      <w:tr w:rsidR="003C750D" w:rsidRPr="00E6181A" w:rsidTr="00BF382A">
        <w:trPr>
          <w:trHeight w:val="255"/>
        </w:trPr>
        <w:tc>
          <w:tcPr>
            <w:tcW w:w="2325" w:type="pct"/>
            <w:tcBorders>
              <w:left w:val="single" w:sz="18" w:space="0" w:color="0070C0"/>
              <w:bottom w:val="single" w:sz="18" w:space="0" w:color="0070C0"/>
            </w:tcBorders>
            <w:noWrap/>
            <w:hideMark/>
          </w:tcPr>
          <w:p w:rsidR="003C750D" w:rsidRPr="00E6181A" w:rsidRDefault="003946EE" w:rsidP="003946EE">
            <w:pPr>
              <w:rPr>
                <w:rFonts w:ascii="Corbel" w:eastAsia="Times New Roman" w:hAnsi="Corbel" w:cs="Arial"/>
                <w:color w:val="000000"/>
                <w:sz w:val="20"/>
                <w:szCs w:val="20"/>
                <w:lang w:val="en-US" w:eastAsia="pl-PL"/>
              </w:rPr>
            </w:pPr>
            <w:r>
              <w:rPr>
                <w:rFonts w:ascii="Corbel" w:eastAsia="Times New Roman" w:hAnsi="Corbel" w:cs="Arial"/>
                <w:color w:val="000000"/>
                <w:sz w:val="20"/>
                <w:szCs w:val="20"/>
                <w:lang w:val="en-US" w:eastAsia="pl-PL"/>
              </w:rPr>
              <w:t>D</w:t>
            </w:r>
            <w:r w:rsidR="003C750D" w:rsidRPr="00E6181A">
              <w:rPr>
                <w:rFonts w:ascii="Corbel" w:eastAsia="Times New Roman" w:hAnsi="Corbel" w:cs="Arial"/>
                <w:color w:val="000000"/>
                <w:sz w:val="20"/>
                <w:szCs w:val="20"/>
                <w:lang w:val="en-US" w:eastAsia="pl-PL"/>
              </w:rPr>
              <w:t>irect investment aid projects to SME</w:t>
            </w:r>
          </w:p>
        </w:tc>
        <w:tc>
          <w:tcPr>
            <w:tcW w:w="747" w:type="pct"/>
            <w:tcBorders>
              <w:bottom w:val="single" w:sz="18" w:space="0" w:color="0070C0"/>
            </w:tcBorders>
            <w:noWrap/>
          </w:tcPr>
          <w:p w:rsidR="003C750D" w:rsidRPr="00E6181A" w:rsidRDefault="00E37485"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10826</w:t>
            </w:r>
          </w:p>
        </w:tc>
        <w:tc>
          <w:tcPr>
            <w:tcW w:w="697" w:type="pct"/>
            <w:tcBorders>
              <w:bottom w:val="single" w:sz="18" w:space="0" w:color="0070C0"/>
            </w:tcBorders>
            <w:noWrap/>
          </w:tcPr>
          <w:p w:rsidR="003C750D" w:rsidRPr="00E6181A" w:rsidRDefault="00E37485"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3519</w:t>
            </w:r>
          </w:p>
        </w:tc>
        <w:tc>
          <w:tcPr>
            <w:tcW w:w="625" w:type="pct"/>
            <w:tcBorders>
              <w:bottom w:val="single" w:sz="18" w:space="0" w:color="0070C0"/>
            </w:tcBorders>
            <w:noWrap/>
          </w:tcPr>
          <w:p w:rsidR="003C750D" w:rsidRPr="00E6181A" w:rsidRDefault="00E37485"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no data</w:t>
            </w:r>
          </w:p>
        </w:tc>
        <w:tc>
          <w:tcPr>
            <w:tcW w:w="607" w:type="pct"/>
            <w:tcBorders>
              <w:bottom w:val="single" w:sz="18" w:space="0" w:color="0070C0"/>
              <w:right w:val="single" w:sz="18" w:space="0" w:color="0070C0"/>
            </w:tcBorders>
            <w:noWrap/>
            <w:hideMark/>
          </w:tcPr>
          <w:p w:rsidR="003C750D" w:rsidRPr="00E6181A" w:rsidRDefault="004D208B" w:rsidP="004835EF">
            <w:pPr>
              <w:rPr>
                <w:rFonts w:ascii="Corbel" w:eastAsia="Times New Roman" w:hAnsi="Corbel" w:cs="Arial"/>
                <w:color w:val="000000"/>
                <w:sz w:val="20"/>
                <w:szCs w:val="20"/>
                <w:lang w:eastAsia="pl-PL"/>
              </w:rPr>
            </w:pPr>
            <w:proofErr w:type="spellStart"/>
            <w:r>
              <w:rPr>
                <w:rFonts w:ascii="Corbel" w:eastAsia="Times New Roman" w:hAnsi="Corbel" w:cs="Arial"/>
                <w:color w:val="000000"/>
                <w:sz w:val="20"/>
                <w:szCs w:val="20"/>
                <w:lang w:eastAsia="pl-PL"/>
              </w:rPr>
              <w:t>projects</w:t>
            </w:r>
            <w:proofErr w:type="spellEnd"/>
          </w:p>
        </w:tc>
      </w:tr>
    </w:tbl>
    <w:p w:rsidR="00571C5F" w:rsidRDefault="00BF382A" w:rsidP="00E6652E">
      <w:pPr>
        <w:jc w:val="both"/>
        <w:rPr>
          <w:rFonts w:ascii="Corbel" w:eastAsia="MS Mincho" w:hAnsi="Corbel" w:cs="Times New Roman"/>
          <w:color w:val="404040"/>
          <w:sz w:val="20"/>
          <w:lang w:val="en-GB" w:eastAsia="ja-JP"/>
        </w:rPr>
      </w:pPr>
      <w:r>
        <w:rPr>
          <w:rFonts w:ascii="Corbel" w:eastAsia="MS Mincho" w:hAnsi="Corbel" w:cs="Times New Roman"/>
          <w:color w:val="404040"/>
          <w:sz w:val="20"/>
          <w:lang w:val="en-GB" w:eastAsia="ja-JP"/>
        </w:rPr>
        <w:t>* All data</w:t>
      </w:r>
      <w:r w:rsidR="003661B4">
        <w:rPr>
          <w:rFonts w:ascii="Corbel" w:eastAsia="MS Mincho" w:hAnsi="Corbel" w:cs="Times New Roman"/>
          <w:color w:val="404040"/>
          <w:sz w:val="20"/>
          <w:lang w:val="en-GB" w:eastAsia="ja-JP"/>
        </w:rPr>
        <w:t xml:space="preserve"> at the regional level</w:t>
      </w:r>
      <w:r>
        <w:rPr>
          <w:rFonts w:ascii="Corbel" w:eastAsia="MS Mincho" w:hAnsi="Corbel" w:cs="Times New Roman"/>
          <w:color w:val="404040"/>
          <w:sz w:val="20"/>
          <w:lang w:val="en-GB" w:eastAsia="ja-JP"/>
        </w:rPr>
        <w:t xml:space="preserve"> provided </w:t>
      </w:r>
      <w:r w:rsidR="003661B4">
        <w:rPr>
          <w:rFonts w:ascii="Corbel" w:eastAsia="MS Mincho" w:hAnsi="Corbel" w:cs="Times New Roman"/>
          <w:color w:val="404040"/>
          <w:sz w:val="20"/>
          <w:lang w:val="en-GB" w:eastAsia="ja-JP"/>
        </w:rPr>
        <w:t xml:space="preserve">in this table refer to </w:t>
      </w:r>
      <w:r>
        <w:rPr>
          <w:rFonts w:ascii="Corbel" w:eastAsia="MS Mincho" w:hAnsi="Corbel" w:cs="Times New Roman"/>
          <w:color w:val="404040"/>
          <w:sz w:val="20"/>
          <w:lang w:val="en-GB" w:eastAsia="ja-JP"/>
        </w:rPr>
        <w:t xml:space="preserve">multiregional OPs, i.e. </w:t>
      </w:r>
      <w:r w:rsidR="001222B7">
        <w:rPr>
          <w:rFonts w:ascii="Corbel" w:eastAsia="MS Mincho" w:hAnsi="Corbel" w:cs="Times New Roman"/>
          <w:color w:val="404040"/>
          <w:sz w:val="20"/>
          <w:lang w:val="en-GB" w:eastAsia="ja-JP"/>
        </w:rPr>
        <w:t xml:space="preserve">OP West Netherlands and </w:t>
      </w:r>
      <w:r w:rsidRPr="00BF382A">
        <w:rPr>
          <w:rFonts w:ascii="Corbel" w:eastAsia="MS Mincho" w:hAnsi="Corbel" w:cs="Times New Roman"/>
          <w:color w:val="404040"/>
          <w:sz w:val="20"/>
          <w:lang w:val="en-GB" w:eastAsia="ja-JP"/>
        </w:rPr>
        <w:t>OP South Netherlands</w:t>
      </w:r>
      <w:r>
        <w:rPr>
          <w:rFonts w:ascii="Corbel" w:eastAsia="MS Mincho" w:hAnsi="Corbel" w:cs="Times New Roman"/>
          <w:color w:val="404040"/>
          <w:sz w:val="20"/>
          <w:lang w:val="en-GB" w:eastAsia="ja-JP"/>
        </w:rPr>
        <w:t xml:space="preserve">. </w:t>
      </w:r>
      <w:r w:rsidR="001222B7">
        <w:rPr>
          <w:rFonts w:ascii="Corbel" w:eastAsia="MS Mincho" w:hAnsi="Corbel" w:cs="Times New Roman"/>
          <w:color w:val="404040"/>
          <w:sz w:val="20"/>
          <w:lang w:val="en-GB" w:eastAsia="ja-JP"/>
        </w:rPr>
        <w:t>In other words</w:t>
      </w:r>
      <w:r w:rsidR="003661B4">
        <w:rPr>
          <w:rFonts w:ascii="Corbel" w:eastAsia="MS Mincho" w:hAnsi="Corbel" w:cs="Times New Roman"/>
          <w:color w:val="404040"/>
          <w:sz w:val="20"/>
          <w:lang w:val="en-GB" w:eastAsia="ja-JP"/>
        </w:rPr>
        <w:t>, the values</w:t>
      </w:r>
      <w:r w:rsidR="001222B7">
        <w:rPr>
          <w:rFonts w:ascii="Corbel" w:eastAsia="MS Mincho" w:hAnsi="Corbel" w:cs="Times New Roman"/>
          <w:color w:val="404040"/>
          <w:sz w:val="20"/>
          <w:lang w:val="en-GB" w:eastAsia="ja-JP"/>
        </w:rPr>
        <w:t xml:space="preserve"> presented here</w:t>
      </w:r>
      <w:r w:rsidR="003661B4">
        <w:rPr>
          <w:rFonts w:ascii="Corbel" w:eastAsia="MS Mincho" w:hAnsi="Corbel" w:cs="Times New Roman"/>
          <w:color w:val="404040"/>
          <w:sz w:val="20"/>
          <w:lang w:val="en-GB" w:eastAsia="ja-JP"/>
        </w:rPr>
        <w:t xml:space="preserve"> reflect the situation in the whole area </w:t>
      </w:r>
      <w:r w:rsidR="001222B7">
        <w:rPr>
          <w:rFonts w:ascii="Corbel" w:eastAsia="MS Mincho" w:hAnsi="Corbel" w:cs="Times New Roman"/>
          <w:color w:val="404040"/>
          <w:sz w:val="20"/>
          <w:lang w:val="en-GB" w:eastAsia="ja-JP"/>
        </w:rPr>
        <w:t xml:space="preserve">(spanning multiple NUTS2 regions) </w:t>
      </w:r>
      <w:r w:rsidR="003661B4">
        <w:rPr>
          <w:rFonts w:ascii="Corbel" w:eastAsia="MS Mincho" w:hAnsi="Corbel" w:cs="Times New Roman"/>
          <w:color w:val="404040"/>
          <w:sz w:val="20"/>
          <w:lang w:val="en-GB" w:eastAsia="ja-JP"/>
        </w:rPr>
        <w:t xml:space="preserve">covered by a given OP. </w:t>
      </w:r>
    </w:p>
    <w:p w:rsidR="000B775D" w:rsidRDefault="001F3CED" w:rsidP="000B775D">
      <w:pPr>
        <w:jc w:val="both"/>
        <w:rPr>
          <w:rFonts w:ascii="Corbel" w:eastAsia="MS Mincho" w:hAnsi="Corbel" w:cs="Times New Roman"/>
          <w:color w:val="404040"/>
          <w:sz w:val="24"/>
          <w:szCs w:val="24"/>
          <w:lang w:val="en-GB" w:eastAsia="ja-JP"/>
        </w:rPr>
      </w:pPr>
      <w:r>
        <w:rPr>
          <w:rFonts w:ascii="Corbel" w:eastAsia="MS Mincho" w:hAnsi="Corbel" w:cs="Times New Roman"/>
          <w:color w:val="404040"/>
          <w:sz w:val="24"/>
          <w:szCs w:val="24"/>
          <w:lang w:val="en-GB" w:eastAsia="ja-JP"/>
        </w:rPr>
        <w:t xml:space="preserve">The </w:t>
      </w:r>
      <w:r w:rsidR="000B775D">
        <w:rPr>
          <w:rFonts w:ascii="Corbel" w:eastAsia="MS Mincho" w:hAnsi="Corbel" w:cs="Times New Roman"/>
          <w:color w:val="404040"/>
          <w:sz w:val="24"/>
          <w:szCs w:val="24"/>
          <w:lang w:val="en-GB" w:eastAsia="ja-JP"/>
        </w:rPr>
        <w:t>allocations to Regional OPs in both case study regions has fallen significantly when the last two programming periods are concerned. A similar</w:t>
      </w:r>
      <w:r w:rsidR="003864D3">
        <w:rPr>
          <w:rFonts w:ascii="Corbel" w:eastAsia="MS Mincho" w:hAnsi="Corbel" w:cs="Times New Roman"/>
          <w:color w:val="404040"/>
          <w:sz w:val="24"/>
          <w:szCs w:val="24"/>
          <w:lang w:val="en-GB" w:eastAsia="ja-JP"/>
        </w:rPr>
        <w:t xml:space="preserve"> decline</w:t>
      </w:r>
      <w:r w:rsidR="000B775D">
        <w:rPr>
          <w:rFonts w:ascii="Corbel" w:eastAsia="MS Mincho" w:hAnsi="Corbel" w:cs="Times New Roman"/>
          <w:color w:val="404040"/>
          <w:sz w:val="24"/>
          <w:szCs w:val="24"/>
          <w:lang w:val="en-GB" w:eastAsia="ja-JP"/>
        </w:rPr>
        <w:t xml:space="preserve"> was observed at the country level</w:t>
      </w:r>
      <w:r w:rsidR="00986730">
        <w:rPr>
          <w:rFonts w:ascii="Corbel" w:eastAsia="MS Mincho" w:hAnsi="Corbel" w:cs="Times New Roman"/>
          <w:color w:val="404040"/>
          <w:sz w:val="24"/>
          <w:szCs w:val="24"/>
          <w:lang w:val="en-GB" w:eastAsia="ja-JP"/>
        </w:rPr>
        <w:t>.</w:t>
      </w:r>
    </w:p>
    <w:p w:rsidR="000B775D" w:rsidRPr="000867D9" w:rsidRDefault="000B775D" w:rsidP="000B775D">
      <w:pPr>
        <w:jc w:val="both"/>
        <w:rPr>
          <w:rFonts w:ascii="Corbel" w:eastAsia="MS Mincho" w:hAnsi="Corbel" w:cs="Times New Roman"/>
          <w:color w:val="404040"/>
          <w:sz w:val="24"/>
          <w:szCs w:val="24"/>
          <w:lang w:val="en-GB" w:eastAsia="ja-JP"/>
        </w:rPr>
      </w:pPr>
      <w:r>
        <w:rPr>
          <w:rFonts w:ascii="Corbel" w:eastAsia="MS Mincho" w:hAnsi="Corbel" w:cs="Times New Roman"/>
          <w:color w:val="404040"/>
          <w:sz w:val="24"/>
          <w:szCs w:val="24"/>
          <w:lang w:val="en-GB" w:eastAsia="ja-JP"/>
        </w:rPr>
        <w:t xml:space="preserve">The reported </w:t>
      </w:r>
      <w:r w:rsidR="00986730">
        <w:rPr>
          <w:rFonts w:ascii="Corbel" w:eastAsia="MS Mincho" w:hAnsi="Corbel" w:cs="Times New Roman"/>
          <w:color w:val="404040"/>
          <w:sz w:val="24"/>
          <w:szCs w:val="24"/>
          <w:lang w:val="en-GB" w:eastAsia="ja-JP"/>
        </w:rPr>
        <w:t>number of created jobs</w:t>
      </w:r>
      <w:r>
        <w:rPr>
          <w:rFonts w:ascii="Corbel" w:eastAsia="MS Mincho" w:hAnsi="Corbel" w:cs="Times New Roman"/>
          <w:color w:val="404040"/>
          <w:sz w:val="24"/>
          <w:szCs w:val="24"/>
          <w:lang w:val="en-GB" w:eastAsia="ja-JP"/>
        </w:rPr>
        <w:t xml:space="preserve"> </w:t>
      </w:r>
      <w:r w:rsidR="00986730">
        <w:rPr>
          <w:rFonts w:ascii="Corbel" w:eastAsia="MS Mincho" w:hAnsi="Corbel" w:cs="Times New Roman"/>
          <w:color w:val="404040"/>
          <w:sz w:val="24"/>
          <w:szCs w:val="24"/>
          <w:lang w:val="en-GB" w:eastAsia="ja-JP"/>
        </w:rPr>
        <w:t xml:space="preserve">juxtaposed with the programme allocations </w:t>
      </w:r>
      <w:r>
        <w:rPr>
          <w:rFonts w:ascii="Corbel" w:eastAsia="MS Mincho" w:hAnsi="Corbel" w:cs="Times New Roman"/>
          <w:color w:val="404040"/>
          <w:sz w:val="24"/>
          <w:szCs w:val="24"/>
          <w:lang w:val="en-GB" w:eastAsia="ja-JP"/>
        </w:rPr>
        <w:t>suggest</w:t>
      </w:r>
      <w:r w:rsidR="00986730">
        <w:rPr>
          <w:rFonts w:ascii="Corbel" w:eastAsia="MS Mincho" w:hAnsi="Corbel" w:cs="Times New Roman"/>
          <w:color w:val="404040"/>
          <w:sz w:val="24"/>
          <w:szCs w:val="24"/>
          <w:lang w:val="en-GB" w:eastAsia="ja-JP"/>
        </w:rPr>
        <w:t>s</w:t>
      </w:r>
      <w:r>
        <w:rPr>
          <w:rFonts w:ascii="Corbel" w:eastAsia="MS Mincho" w:hAnsi="Corbel" w:cs="Times New Roman"/>
          <w:color w:val="404040"/>
          <w:sz w:val="24"/>
          <w:szCs w:val="24"/>
          <w:lang w:val="en-GB" w:eastAsia="ja-JP"/>
        </w:rPr>
        <w:t xml:space="preserve"> that</w:t>
      </w:r>
      <w:r w:rsidR="00986730">
        <w:rPr>
          <w:rFonts w:ascii="Corbel" w:eastAsia="MS Mincho" w:hAnsi="Corbel" w:cs="Times New Roman"/>
          <w:color w:val="404040"/>
          <w:sz w:val="24"/>
          <w:szCs w:val="24"/>
          <w:lang w:val="en-GB" w:eastAsia="ja-JP"/>
        </w:rPr>
        <w:t xml:space="preserve"> OP South Netherlands is more efficient than OP West Netherlands in creating new jobs. Also, the former programme seems to focus more on enhancing the business environment, as indicated by data on modernised business parks and projects supporting cooperation between enterprises and research institutions.</w:t>
      </w:r>
    </w:p>
    <w:p w:rsidR="003C750D" w:rsidRPr="000867D9" w:rsidRDefault="003C750D" w:rsidP="000867D9">
      <w:pPr>
        <w:jc w:val="both"/>
        <w:rPr>
          <w:rFonts w:ascii="Corbel" w:eastAsia="MS Mincho" w:hAnsi="Corbel" w:cs="Times New Roman"/>
          <w:color w:val="404040"/>
          <w:sz w:val="24"/>
          <w:szCs w:val="24"/>
          <w:lang w:val="en-GB" w:eastAsia="ja-JP"/>
        </w:rPr>
      </w:pPr>
    </w:p>
    <w:sectPr w:rsidR="003C750D" w:rsidRPr="000867D9" w:rsidSect="003C750D">
      <w:headerReference w:type="default" r:id="rId8"/>
      <w:footerReference w:type="default" r:id="rId9"/>
      <w:pgSz w:w="11906" w:h="16838"/>
      <w:pgMar w:top="1843" w:right="1080" w:bottom="184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634" w:rsidRDefault="00496634" w:rsidP="008070D0">
      <w:pPr>
        <w:spacing w:after="0" w:line="240" w:lineRule="auto"/>
      </w:pPr>
      <w:r>
        <w:separator/>
      </w:r>
    </w:p>
  </w:endnote>
  <w:endnote w:type="continuationSeparator" w:id="0">
    <w:p w:rsidR="00496634" w:rsidRDefault="00496634" w:rsidP="00807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0D0" w:rsidRPr="008070D0" w:rsidRDefault="008070D0" w:rsidP="008070D0">
    <w:pPr>
      <w:ind w:left="1134"/>
      <w:rPr>
        <w:rFonts w:cs="Arial"/>
        <w:sz w:val="18"/>
        <w:szCs w:val="18"/>
        <w:lang w:val="en-US"/>
      </w:rPr>
    </w:pPr>
    <w:r>
      <w:rPr>
        <w:noProof/>
        <w:lang w:eastAsia="pl-PL"/>
      </w:rPr>
      <w:drawing>
        <wp:anchor distT="0" distB="0" distL="114300" distR="114300" simplePos="0" relativeHeight="251661312" behindDoc="1" locked="0" layoutInCell="1" allowOverlap="1">
          <wp:simplePos x="0" y="0"/>
          <wp:positionH relativeFrom="column">
            <wp:posOffset>-108610</wp:posOffset>
          </wp:positionH>
          <wp:positionV relativeFrom="paragraph">
            <wp:posOffset>6828</wp:posOffset>
          </wp:positionV>
          <wp:extent cx="577702" cy="380010"/>
          <wp:effectExtent l="19050" t="0" r="0" b="0"/>
          <wp:wrapNone/>
          <wp:docPr id="7" name="Image 3" descr="Macintosh HD:Users:Sara:Dropbox:DOCS w Reynald:COHESIFY: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Macintosh HD:Users:Sara:Dropbox:DOCS w Reynald:COHESIFY:flag_yellow_hig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702" cy="380010"/>
                  </a:xfrm>
                  <a:prstGeom prst="rect">
                    <a:avLst/>
                  </a:prstGeom>
                  <a:noFill/>
                  <a:ln>
                    <a:noFill/>
                  </a:ln>
                </pic:spPr>
              </pic:pic>
            </a:graphicData>
          </a:graphic>
        </wp:anchor>
      </w:drawing>
    </w:r>
    <w:r>
      <w:rPr>
        <w:noProof/>
        <w:lang w:eastAsia="pl-PL"/>
      </w:rPr>
      <w:drawing>
        <wp:anchor distT="0" distB="0" distL="114300" distR="114300" simplePos="0" relativeHeight="251659264" behindDoc="1" locked="0" layoutInCell="1" allowOverlap="1">
          <wp:simplePos x="0" y="0"/>
          <wp:positionH relativeFrom="column">
            <wp:posOffset>-1974850</wp:posOffset>
          </wp:positionH>
          <wp:positionV relativeFrom="paragraph">
            <wp:posOffset>815340</wp:posOffset>
          </wp:positionV>
          <wp:extent cx="8604250" cy="342900"/>
          <wp:effectExtent l="0" t="0" r="6350" b="0"/>
          <wp:wrapNone/>
          <wp:docPr id="9" name="Picture 5" descr="Macintosh HD:Users:SARA:Dropbox:DOCS w/ Reynald:COHESIFY:footer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ARA:Dropbox:DOCS w/ Reynald:COHESIFY:footer 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04250" cy="342900"/>
                  </a:xfrm>
                  <a:prstGeom prst="rect">
                    <a:avLst/>
                  </a:prstGeom>
                  <a:noFill/>
                  <a:ln>
                    <a:noFill/>
                  </a:ln>
                </pic:spPr>
              </pic:pic>
            </a:graphicData>
          </a:graphic>
        </wp:anchor>
      </w:drawing>
    </w:r>
    <w:r w:rsidRPr="008070D0">
      <w:rPr>
        <w:sz w:val="18"/>
        <w:szCs w:val="18"/>
        <w:lang w:val="en-US"/>
      </w:rPr>
      <w:t xml:space="preserve">The COHESIFY project (February 2016-April 2018) has received funding from the European Union’s Horizon 2020 research and innovation </w:t>
    </w:r>
    <w:proofErr w:type="spellStart"/>
    <w:r w:rsidRPr="008070D0">
      <w:rPr>
        <w:sz w:val="18"/>
        <w:szCs w:val="18"/>
        <w:lang w:val="en-US"/>
      </w:rPr>
      <w:t>programme</w:t>
    </w:r>
    <w:proofErr w:type="spellEnd"/>
    <w:r w:rsidRPr="008070D0">
      <w:rPr>
        <w:sz w:val="18"/>
        <w:szCs w:val="18"/>
        <w:lang w:val="en-US"/>
      </w:rPr>
      <w:t xml:space="preserve"> under grant agreement No. 693127</w:t>
    </w:r>
  </w:p>
  <w:p w:rsidR="008070D0" w:rsidRPr="008070D0" w:rsidRDefault="008070D0">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634" w:rsidRDefault="00496634" w:rsidP="008070D0">
      <w:pPr>
        <w:spacing w:after="0" w:line="240" w:lineRule="auto"/>
      </w:pPr>
      <w:r>
        <w:separator/>
      </w:r>
    </w:p>
  </w:footnote>
  <w:footnote w:type="continuationSeparator" w:id="0">
    <w:p w:rsidR="00496634" w:rsidRDefault="00496634" w:rsidP="00807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0D0" w:rsidRDefault="00412E25">
    <w:pPr>
      <w:pStyle w:val="Nagwek"/>
    </w:pPr>
    <w:r>
      <w:rPr>
        <w:noProof/>
      </w:rPr>
      <w:drawing>
        <wp:anchor distT="0" distB="0" distL="114300" distR="114300" simplePos="0" relativeHeight="251663360" behindDoc="0" locked="0" layoutInCell="1" allowOverlap="1" wp14:anchorId="45E8C495" wp14:editId="0DCA50F6">
          <wp:simplePos x="0" y="0"/>
          <wp:positionH relativeFrom="column">
            <wp:posOffset>4281081</wp:posOffset>
          </wp:positionH>
          <wp:positionV relativeFrom="paragraph">
            <wp:posOffset>-354109</wp:posOffset>
          </wp:positionV>
          <wp:extent cx="2295525" cy="1021509"/>
          <wp:effectExtent l="0" t="0" r="0" b="0"/>
          <wp:wrapNone/>
          <wp:docPr id="1" name="Obraz 1" descr="C:\Users\Gaba\AppData\Local\Temp\Cohesify-logo-horizontal-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a\AppData\Local\Temp\Cohesify-logo-horizontal-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102150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 Ploszaj">
    <w15:presenceInfo w15:providerId="Windows Live" w15:userId="068e2a2a156054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srQ0NTCwNDY1MTM1N7ZQ0lEKTi0uzszPAykwrAUAPbYzXCwAAAA="/>
  </w:docVars>
  <w:rsids>
    <w:rsidRoot w:val="00A56F2A"/>
    <w:rsid w:val="00020410"/>
    <w:rsid w:val="0003713C"/>
    <w:rsid w:val="00041C48"/>
    <w:rsid w:val="00055E03"/>
    <w:rsid w:val="000867D9"/>
    <w:rsid w:val="00094052"/>
    <w:rsid w:val="000B775D"/>
    <w:rsid w:val="000E6E42"/>
    <w:rsid w:val="001222B7"/>
    <w:rsid w:val="00127195"/>
    <w:rsid w:val="00130863"/>
    <w:rsid w:val="001F3CED"/>
    <w:rsid w:val="00211151"/>
    <w:rsid w:val="00221148"/>
    <w:rsid w:val="00227060"/>
    <w:rsid w:val="00251FE3"/>
    <w:rsid w:val="00262AC8"/>
    <w:rsid w:val="00294768"/>
    <w:rsid w:val="002A3DCE"/>
    <w:rsid w:val="002D268A"/>
    <w:rsid w:val="00303CBA"/>
    <w:rsid w:val="003661B4"/>
    <w:rsid w:val="00366A75"/>
    <w:rsid w:val="003864D3"/>
    <w:rsid w:val="00386949"/>
    <w:rsid w:val="003946EE"/>
    <w:rsid w:val="003B331E"/>
    <w:rsid w:val="003C750D"/>
    <w:rsid w:val="00412E25"/>
    <w:rsid w:val="00451674"/>
    <w:rsid w:val="004766EA"/>
    <w:rsid w:val="00496634"/>
    <w:rsid w:val="004A7819"/>
    <w:rsid w:val="004B7124"/>
    <w:rsid w:val="004D208B"/>
    <w:rsid w:val="00571C5F"/>
    <w:rsid w:val="00661ED5"/>
    <w:rsid w:val="00680019"/>
    <w:rsid w:val="0069414F"/>
    <w:rsid w:val="006C487E"/>
    <w:rsid w:val="006E4D55"/>
    <w:rsid w:val="006E78F8"/>
    <w:rsid w:val="006E7FD8"/>
    <w:rsid w:val="00791BBC"/>
    <w:rsid w:val="00795B0F"/>
    <w:rsid w:val="007A406F"/>
    <w:rsid w:val="008070D0"/>
    <w:rsid w:val="00840977"/>
    <w:rsid w:val="008451A0"/>
    <w:rsid w:val="008578A9"/>
    <w:rsid w:val="008A2D04"/>
    <w:rsid w:val="00986730"/>
    <w:rsid w:val="009B0D0C"/>
    <w:rsid w:val="009F5B5E"/>
    <w:rsid w:val="00A30DA6"/>
    <w:rsid w:val="00A346B5"/>
    <w:rsid w:val="00A56F2A"/>
    <w:rsid w:val="00AA072C"/>
    <w:rsid w:val="00AD5513"/>
    <w:rsid w:val="00B35E07"/>
    <w:rsid w:val="00BA7E8E"/>
    <w:rsid w:val="00BF382A"/>
    <w:rsid w:val="00C27C6F"/>
    <w:rsid w:val="00CA0E0A"/>
    <w:rsid w:val="00D05A3A"/>
    <w:rsid w:val="00D066FD"/>
    <w:rsid w:val="00D33E4C"/>
    <w:rsid w:val="00D74CFE"/>
    <w:rsid w:val="00DE4BCB"/>
    <w:rsid w:val="00E37485"/>
    <w:rsid w:val="00E6181A"/>
    <w:rsid w:val="00E64D4C"/>
    <w:rsid w:val="00E6652E"/>
    <w:rsid w:val="00E95825"/>
    <w:rsid w:val="00F0456E"/>
    <w:rsid w:val="00F269AC"/>
    <w:rsid w:val="00F57C20"/>
    <w:rsid w:val="00F65ACD"/>
    <w:rsid w:val="00F85B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78F8"/>
  </w:style>
  <w:style w:type="paragraph" w:styleId="Nagwek1">
    <w:name w:val="heading 1"/>
    <w:basedOn w:val="Normalny"/>
    <w:next w:val="Normalny"/>
    <w:link w:val="Nagwek1Znak"/>
    <w:uiPriority w:val="9"/>
    <w:qFormat/>
    <w:rsid w:val="00E618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56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vl1Heading">
    <w:name w:val="lvl1 Heading"/>
    <w:basedOn w:val="Nagwek1"/>
    <w:next w:val="Normalny"/>
    <w:autoRedefine/>
    <w:qFormat/>
    <w:rsid w:val="00E6181A"/>
    <w:pPr>
      <w:spacing w:line="240" w:lineRule="auto"/>
      <w:ind w:left="360" w:hanging="360"/>
      <w:jc w:val="both"/>
    </w:pPr>
    <w:rPr>
      <w:rFonts w:ascii="Century Gothic" w:eastAsia="MS Gothic" w:hAnsi="Century Gothic" w:cs="Arial"/>
      <w:bCs w:val="0"/>
      <w:noProof/>
      <w:color w:val="455783"/>
      <w:kern w:val="24"/>
      <w:szCs w:val="72"/>
      <w:lang w:val="en-GB" w:eastAsia="ja-JP"/>
    </w:rPr>
  </w:style>
  <w:style w:type="character" w:customStyle="1" w:styleId="Nagwek1Znak">
    <w:name w:val="Nagłówek 1 Znak"/>
    <w:basedOn w:val="Domylnaczcionkaakapitu"/>
    <w:link w:val="Nagwek1"/>
    <w:uiPriority w:val="9"/>
    <w:rsid w:val="00E6181A"/>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8070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70D0"/>
  </w:style>
  <w:style w:type="paragraph" w:styleId="Stopka">
    <w:name w:val="footer"/>
    <w:basedOn w:val="Normalny"/>
    <w:link w:val="StopkaZnak"/>
    <w:uiPriority w:val="99"/>
    <w:unhideWhenUsed/>
    <w:rsid w:val="008070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70D0"/>
  </w:style>
  <w:style w:type="paragraph" w:styleId="Bezodstpw">
    <w:name w:val="No Spacing"/>
    <w:uiPriority w:val="1"/>
    <w:qFormat/>
    <w:rsid w:val="003C750D"/>
    <w:pPr>
      <w:spacing w:after="0" w:line="240" w:lineRule="auto"/>
    </w:pPr>
  </w:style>
  <w:style w:type="paragraph" w:styleId="Tekstdymka">
    <w:name w:val="Balloon Text"/>
    <w:basedOn w:val="Normalny"/>
    <w:link w:val="TekstdymkaZnak"/>
    <w:uiPriority w:val="99"/>
    <w:semiHidden/>
    <w:unhideWhenUsed/>
    <w:rsid w:val="002211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1148"/>
    <w:rPr>
      <w:rFonts w:ascii="Segoe UI" w:hAnsi="Segoe UI" w:cs="Segoe UI"/>
      <w:sz w:val="18"/>
      <w:szCs w:val="18"/>
    </w:rPr>
  </w:style>
  <w:style w:type="paragraph" w:styleId="Akapitzlist">
    <w:name w:val="List Paragraph"/>
    <w:basedOn w:val="Normalny"/>
    <w:uiPriority w:val="34"/>
    <w:qFormat/>
    <w:rsid w:val="00D74C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2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0BFEA-F76D-471D-A02C-0DA0078B9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3850</Characters>
  <Application>Microsoft Office Word</Application>
  <DocSecurity>0</DocSecurity>
  <Lines>32</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Galdámez Muñoz</dc:creator>
  <cp:lastModifiedBy>Gabriela Galdámez Muñoz</cp:lastModifiedBy>
  <cp:revision>2</cp:revision>
  <dcterms:created xsi:type="dcterms:W3CDTF">2017-02-24T14:01:00Z</dcterms:created>
  <dcterms:modified xsi:type="dcterms:W3CDTF">2017-02-24T14:01:00Z</dcterms:modified>
</cp:coreProperties>
</file>