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3E7766">
        <w:t xml:space="preserve">ase </w:t>
      </w:r>
      <w:r w:rsidR="003E7766" w:rsidRPr="00C742A0">
        <w:t>study</w:t>
      </w:r>
      <w:r w:rsidR="003E7766">
        <w:t>: Hungary</w:t>
      </w:r>
    </w:p>
    <w:p w:rsidR="00A56F2A" w:rsidRDefault="00756596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459"/>
        <w:gridCol w:w="1809"/>
        <w:gridCol w:w="10"/>
        <w:gridCol w:w="1819"/>
        <w:gridCol w:w="18"/>
        <w:gridCol w:w="1793"/>
        <w:gridCol w:w="8"/>
      </w:tblGrid>
      <w:tr w:rsidR="00E265F8" w:rsidRPr="00E6181A" w:rsidTr="00E265F8">
        <w:trPr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Basic info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E265F8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 xml:space="preserve">West </w:t>
            </w:r>
            <w:proofErr w:type="spellStart"/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Pannon</w:t>
            </w:r>
            <w:proofErr w:type="spellEnd"/>
          </w:p>
        </w:tc>
        <w:tc>
          <w:tcPr>
            <w:tcW w:w="917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E265F8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917" w:type="pct"/>
            <w:gridSpan w:val="3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E265F8" w:rsidRPr="00E6181A" w:rsidRDefault="00E265F8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Population [2008]</w:t>
            </w:r>
          </w:p>
        </w:tc>
        <w:tc>
          <w:tcPr>
            <w:tcW w:w="917" w:type="pct"/>
            <w:gridSpan w:val="2"/>
            <w:tcBorders>
              <w:top w:val="single" w:sz="18" w:space="0" w:color="00B050"/>
            </w:tcBorders>
            <w:noWrap/>
            <w:hideMark/>
          </w:tcPr>
          <w:p w:rsidR="00E265F8" w:rsidRPr="00E6181A" w:rsidRDefault="00C201C3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C201C3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17" w:type="pct"/>
            <w:tcBorders>
              <w:top w:val="single" w:sz="18" w:space="0" w:color="00B050"/>
            </w:tcBorders>
            <w:noWrap/>
            <w:hideMark/>
          </w:tcPr>
          <w:p w:rsidR="00E265F8" w:rsidRPr="00E6181A" w:rsidRDefault="00C201C3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C201C3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10045</w:t>
            </w:r>
          </w:p>
        </w:tc>
        <w:tc>
          <w:tcPr>
            <w:tcW w:w="917" w:type="pct"/>
            <w:gridSpan w:val="3"/>
            <w:tcBorders>
              <w:top w:val="single" w:sz="18" w:space="0" w:color="00B050"/>
            </w:tcBorders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GDP [2008]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C201C3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103</w:t>
            </w:r>
            <w:r w:rsidR="00DA6AF4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7" w:type="pct"/>
            <w:noWrap/>
            <w:hideMark/>
          </w:tcPr>
          <w:p w:rsidR="00E265F8" w:rsidRPr="00E6181A" w:rsidRDefault="00DA6AF4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107503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[2014]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DA6AF4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917" w:type="pct"/>
            <w:noWrap/>
            <w:hideMark/>
          </w:tcPr>
          <w:p w:rsidR="00E265F8" w:rsidRPr="00E6181A" w:rsidRDefault="00C201C3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C201C3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9877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GDP [2014]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C201C3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1088</w:t>
            </w:r>
            <w:r w:rsidR="00DA6AF4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pct"/>
            <w:noWrap/>
            <w:hideMark/>
          </w:tcPr>
          <w:p w:rsidR="00E265F8" w:rsidRPr="00E6181A" w:rsidRDefault="00DA6AF4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104239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E265F8">
        <w:trPr>
          <w:gridAfter w:val="1"/>
          <w:wAfter w:w="4" w:type="pct"/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Total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allocation</w:t>
            </w:r>
            <w:proofErr w:type="spellEnd"/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[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DA6AF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276.3</w:t>
            </w:r>
          </w:p>
        </w:tc>
        <w:tc>
          <w:tcPr>
            <w:tcW w:w="917" w:type="pct"/>
            <w:noWrap/>
            <w:hideMark/>
          </w:tcPr>
          <w:p w:rsidR="00E265F8" w:rsidRPr="00E6181A" w:rsidRDefault="00DA6AF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2718.0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E265F8">
        <w:trPr>
          <w:trHeight w:val="201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2007-2013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DA6AF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3473.5</w:t>
            </w:r>
          </w:p>
        </w:tc>
        <w:tc>
          <w:tcPr>
            <w:tcW w:w="917" w:type="pct"/>
            <w:noWrap/>
            <w:hideMark/>
          </w:tcPr>
          <w:p w:rsidR="00E265F8" w:rsidRPr="00E6181A" w:rsidRDefault="00DA6AF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27736.0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2007-2013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2000-2006]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DA6AF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17" w:type="pct"/>
            <w:noWrap/>
            <w:hideMark/>
          </w:tcPr>
          <w:p w:rsidR="00E265F8" w:rsidRPr="00E6181A" w:rsidRDefault="00DA6AF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E265F8" w:rsidRPr="00E6181A" w:rsidTr="00E265F8">
        <w:trPr>
          <w:gridAfter w:val="1"/>
          <w:wAfter w:w="4" w:type="pct"/>
          <w:trHeight w:val="255"/>
        </w:trPr>
        <w:tc>
          <w:tcPr>
            <w:tcW w:w="2249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E265F8" w:rsidRPr="00E6181A" w:rsidRDefault="00E265F8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rates</w:t>
            </w:r>
            <w:proofErr w:type="spellEnd"/>
            <w:r w:rsidR="00756596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ERDF+CF</w:t>
            </w:r>
          </w:p>
        </w:tc>
        <w:tc>
          <w:tcPr>
            <w:tcW w:w="912" w:type="pct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top w:val="single" w:sz="18" w:space="0" w:color="00B050"/>
              <w:left w:val="nil"/>
              <w:right w:val="nil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8" w:space="0" w:color="00B050"/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left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2000-2006</w:t>
            </w:r>
            <w:r w:rsidR="0075659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75659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final</w:t>
            </w:r>
            <w:proofErr w:type="spellEnd"/>
            <w:r w:rsidR="0075659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17" w:type="pct"/>
            <w:gridSpan w:val="2"/>
            <w:noWrap/>
            <w:hideMark/>
          </w:tcPr>
          <w:p w:rsidR="00E265F8" w:rsidRPr="00E6181A" w:rsidRDefault="00DA6AF4" w:rsidP="00E07ADD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917" w:type="pct"/>
            <w:noWrap/>
            <w:hideMark/>
          </w:tcPr>
          <w:p w:rsidR="00E265F8" w:rsidRPr="00E6181A" w:rsidRDefault="00E07AD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917" w:type="pct"/>
            <w:gridSpan w:val="3"/>
            <w:noWrap/>
            <w:hideMark/>
          </w:tcPr>
          <w:p w:rsidR="00E265F8" w:rsidRPr="00E6181A" w:rsidRDefault="00E265F8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  <w:tr w:rsidR="00E265F8" w:rsidRPr="00E6181A" w:rsidTr="00E265F8">
        <w:trPr>
          <w:trHeight w:val="255"/>
        </w:trPr>
        <w:tc>
          <w:tcPr>
            <w:tcW w:w="2249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E265F8" w:rsidRPr="00E6181A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2014]</w:t>
            </w:r>
          </w:p>
        </w:tc>
        <w:tc>
          <w:tcPr>
            <w:tcW w:w="917" w:type="pct"/>
            <w:gridSpan w:val="2"/>
            <w:tcBorders>
              <w:bottom w:val="single" w:sz="18" w:space="0" w:color="00B050"/>
            </w:tcBorders>
            <w:noWrap/>
            <w:hideMark/>
          </w:tcPr>
          <w:p w:rsidR="00E265F8" w:rsidRPr="00E6181A" w:rsidRDefault="003D4C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917" w:type="pct"/>
            <w:tcBorders>
              <w:bottom w:val="single" w:sz="18" w:space="0" w:color="00B050"/>
            </w:tcBorders>
            <w:noWrap/>
            <w:hideMark/>
          </w:tcPr>
          <w:p w:rsidR="00E265F8" w:rsidRPr="00E6181A" w:rsidRDefault="003D4C84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917" w:type="pct"/>
            <w:gridSpan w:val="3"/>
            <w:tcBorders>
              <w:bottom w:val="single" w:sz="18" w:space="0" w:color="00B050"/>
            </w:tcBorders>
            <w:noWrap/>
            <w:hideMark/>
          </w:tcPr>
          <w:p w:rsidR="00E265F8" w:rsidRPr="00E6181A" w:rsidRDefault="00E265F8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</w:tbl>
    <w:p w:rsidR="00221148" w:rsidRDefault="00221148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221148" w:rsidRDefault="00921C6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West </w:t>
      </w:r>
      <w:proofErr w:type="spellStart"/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Pannon</w:t>
      </w:r>
      <w:proofErr w:type="spellEnd"/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region accounted in 2014 for about 10% of both country population and national GDP.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r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egion’s share in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country-level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total allocation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grew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from 10% for the programming period 2004-2006, to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12.5% for the 2007-2013 period.</w:t>
      </w:r>
      <w:r w:rsidR="004A330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2014 absorption rate</w:t>
      </w:r>
      <w:r w:rsidR="003D4C8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the case st</w:t>
      </w:r>
      <w:r w:rsidR="004A330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udy region was</w:t>
      </w:r>
      <w:r w:rsidR="003D4C8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4A330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lagging behind the national average by</w:t>
      </w:r>
      <w:r w:rsidR="003D4C8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4 pp.</w:t>
      </w:r>
    </w:p>
    <w:p w:rsidR="00921C6E" w:rsidRPr="009B0D0C" w:rsidRDefault="00921C6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173"/>
        <w:gridCol w:w="1559"/>
        <w:gridCol w:w="1184"/>
      </w:tblGrid>
      <w:tr w:rsidR="00E265F8" w:rsidRPr="00921C6E" w:rsidTr="00E265F8">
        <w:trPr>
          <w:trHeight w:val="255"/>
        </w:trPr>
        <w:tc>
          <w:tcPr>
            <w:tcW w:w="361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E265F8" w:rsidRPr="009B0D0C" w:rsidRDefault="00E265F8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Thematic structure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[NUTS-2, 2007-13, ERDF+CF]</w:t>
            </w:r>
          </w:p>
        </w:tc>
        <w:tc>
          <w:tcPr>
            <w:tcW w:w="786" w:type="pct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E265F8" w:rsidRPr="00921C6E" w:rsidRDefault="00E265F8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921C6E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 xml:space="preserve">West </w:t>
            </w:r>
            <w:proofErr w:type="spellStart"/>
            <w:r w:rsidRPr="00921C6E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Pannon</w:t>
            </w:r>
            <w:proofErr w:type="spellEnd"/>
          </w:p>
        </w:tc>
        <w:tc>
          <w:tcPr>
            <w:tcW w:w="597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  <w:hideMark/>
          </w:tcPr>
          <w:p w:rsidR="00E265F8" w:rsidRPr="00921C6E" w:rsidRDefault="00E265F8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921C6E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Hungary</w:t>
            </w:r>
          </w:p>
        </w:tc>
      </w:tr>
      <w:tr w:rsidR="00E265F8" w:rsidRPr="00921C6E" w:rsidTr="00E265F8">
        <w:trPr>
          <w:trHeight w:val="255"/>
        </w:trPr>
        <w:tc>
          <w:tcPr>
            <w:tcW w:w="3617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E265F8" w:rsidRPr="00E265F8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265F8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 xml:space="preserve">% of allocation </w:t>
            </w:r>
          </w:p>
        </w:tc>
        <w:tc>
          <w:tcPr>
            <w:tcW w:w="786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E265F8" w:rsidRPr="00E265F8" w:rsidRDefault="00E265F8" w:rsidP="00EE3B3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E265F8" w:rsidRPr="00E265F8" w:rsidRDefault="00E265F8" w:rsidP="00EE3B3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265F8" w:rsidRPr="00E6181A" w:rsidTr="00E265F8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786" w:type="pct"/>
            <w:noWrap/>
            <w:hideMark/>
          </w:tcPr>
          <w:p w:rsidR="00E265F8" w:rsidRPr="00E6181A" w:rsidRDefault="001F3B7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14.3</w:t>
            </w:r>
            <w:r w:rsidR="0041676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  <w:hideMark/>
          </w:tcPr>
          <w:p w:rsidR="00E265F8" w:rsidRPr="00E6181A" w:rsidRDefault="001F3B7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17.4</w:t>
            </w:r>
            <w:r w:rsidR="0041676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E265F8" w:rsidRPr="00E6181A" w:rsidTr="00E265F8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786" w:type="pct"/>
            <w:noWrap/>
            <w:hideMark/>
          </w:tcPr>
          <w:p w:rsidR="00E265F8" w:rsidRPr="00E6181A" w:rsidRDefault="001F3B7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66.5</w:t>
            </w:r>
            <w:r w:rsidR="0041676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  <w:hideMark/>
          </w:tcPr>
          <w:p w:rsidR="00E265F8" w:rsidRPr="00E6181A" w:rsidRDefault="001F3B7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60.9</w:t>
            </w:r>
            <w:r w:rsidR="0041676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E265F8" w:rsidRPr="00E6181A" w:rsidTr="00E265F8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786" w:type="pct"/>
            <w:noWrap/>
            <w:hideMark/>
          </w:tcPr>
          <w:p w:rsidR="00E265F8" w:rsidRPr="00E6181A" w:rsidRDefault="001F3B7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16.0</w:t>
            </w:r>
            <w:r w:rsidR="0041676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  <w:hideMark/>
          </w:tcPr>
          <w:p w:rsidR="00E265F8" w:rsidRPr="00E6181A" w:rsidRDefault="001F3B7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18.1</w:t>
            </w:r>
            <w:r w:rsidR="00416766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E265F8" w:rsidRPr="00E6181A" w:rsidTr="00E265F8">
        <w:trPr>
          <w:trHeight w:val="255"/>
        </w:trPr>
        <w:tc>
          <w:tcPr>
            <w:tcW w:w="3617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2014]</w:t>
            </w:r>
          </w:p>
        </w:tc>
        <w:tc>
          <w:tcPr>
            <w:tcW w:w="786" w:type="pct"/>
            <w:tcBorders>
              <w:top w:val="single" w:sz="18" w:space="0" w:color="FFC000"/>
              <w:left w:val="nil"/>
              <w:right w:val="nil"/>
            </w:tcBorders>
            <w:shd w:val="clear" w:color="auto" w:fill="FDE9D9" w:themeFill="accent6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</w:tr>
      <w:tr w:rsidR="00E265F8" w:rsidRPr="00E6181A" w:rsidTr="00E265F8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786" w:type="pct"/>
            <w:noWrap/>
            <w:hideMark/>
          </w:tcPr>
          <w:p w:rsidR="00E265F8" w:rsidRPr="00E6181A" w:rsidRDefault="00E07ADD" w:rsidP="001F3B79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72.3</w:t>
            </w:r>
            <w:r w:rsidR="00581C0C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  <w:hideMark/>
          </w:tcPr>
          <w:p w:rsidR="00E265F8" w:rsidRPr="00E6181A" w:rsidRDefault="001F3B79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72.3</w:t>
            </w:r>
            <w:r w:rsidR="00581C0C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%</w:t>
            </w:r>
          </w:p>
        </w:tc>
      </w:tr>
      <w:tr w:rsidR="00E265F8" w:rsidRPr="00581C0C" w:rsidTr="00E265F8">
        <w:trPr>
          <w:trHeight w:val="255"/>
        </w:trPr>
        <w:tc>
          <w:tcPr>
            <w:tcW w:w="3617" w:type="pct"/>
            <w:tcBorders>
              <w:left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786" w:type="pct"/>
            <w:noWrap/>
            <w:hideMark/>
          </w:tcPr>
          <w:p w:rsidR="00E265F8" w:rsidRPr="00581C0C" w:rsidRDefault="00E07AD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56.1</w:t>
            </w:r>
            <w:r w:rsidR="00581C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7" w:type="pct"/>
            <w:tcBorders>
              <w:right w:val="single" w:sz="18" w:space="0" w:color="FFC000"/>
            </w:tcBorders>
            <w:noWrap/>
            <w:hideMark/>
          </w:tcPr>
          <w:p w:rsidR="00E265F8" w:rsidRPr="00581C0C" w:rsidRDefault="00581C0C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61.0%</w:t>
            </w:r>
          </w:p>
        </w:tc>
      </w:tr>
      <w:tr w:rsidR="00E265F8" w:rsidRPr="00581C0C" w:rsidTr="00E265F8">
        <w:trPr>
          <w:trHeight w:val="255"/>
        </w:trPr>
        <w:tc>
          <w:tcPr>
            <w:tcW w:w="3617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786" w:type="pct"/>
            <w:tcBorders>
              <w:bottom w:val="single" w:sz="18" w:space="0" w:color="FFC000"/>
            </w:tcBorders>
            <w:noWrap/>
            <w:hideMark/>
          </w:tcPr>
          <w:p w:rsidR="00E265F8" w:rsidRPr="00581C0C" w:rsidRDefault="00E07ADD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75.7</w:t>
            </w:r>
            <w:r w:rsidR="00581C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97" w:type="pct"/>
            <w:tcBorders>
              <w:bottom w:val="single" w:sz="18" w:space="0" w:color="FFC000"/>
              <w:right w:val="single" w:sz="18" w:space="0" w:color="FFC000"/>
            </w:tcBorders>
            <w:noWrap/>
            <w:hideMark/>
          </w:tcPr>
          <w:p w:rsidR="00E265F8" w:rsidRPr="00581C0C" w:rsidRDefault="00581C0C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76.7%</w:t>
            </w:r>
          </w:p>
        </w:tc>
      </w:tr>
    </w:tbl>
    <w:p w:rsidR="00B51A15" w:rsidRPr="003864D3" w:rsidRDefault="00B51A15" w:rsidP="00B51A15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F85BAD" w:rsidRDefault="00C742A0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lastRenderedPageBreak/>
        <w:t>The t</w:t>
      </w:r>
      <w:r w:rsidR="00F85BAD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hematic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tructure of allocation of ERDF and CF funds is</w:t>
      </w:r>
      <w:r w:rsid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similar in both West </w:t>
      </w:r>
      <w:proofErr w:type="spellStart"/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Pannon</w:t>
      </w:r>
      <w:proofErr w:type="spellEnd"/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and Hungary. The Category B, clustering inves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tments in basic infrastructure,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 w:rsidR="00837A1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is responsible for over 60% of t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otal allocations in both cases, while </w:t>
      </w:r>
      <w:r w:rsidR="004A330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share of 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funds allocate</w:t>
      </w:r>
      <w:r w:rsidR="004A330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d to Categories A and C amounts 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to approx. 15% per each. In </w:t>
      </w:r>
      <w:r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0D7DAE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case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of West </w:t>
      </w:r>
      <w:proofErr w:type="spellStart"/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Pannon</w:t>
      </w:r>
      <w:proofErr w:type="spellEnd"/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region, </w:t>
      </w:r>
      <w:r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0D7DAE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concentration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of funds in Category B exceeds the national average by almost 6 pp. </w:t>
      </w:r>
      <w:bookmarkStart w:id="0" w:name="_GoBack"/>
      <w:bookmarkEnd w:id="0"/>
    </w:p>
    <w:p w:rsidR="003C750D" w:rsidRPr="009B0D0C" w:rsidRDefault="00251FE3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thematic </w:t>
      </w:r>
      <w:r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r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ate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of absorption 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in West </w:t>
      </w:r>
      <w:proofErr w:type="spellStart"/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Pannon</w:t>
      </w:r>
      <w:proofErr w:type="spellEnd"/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and Hungary are very much alike, with basic infrastructure lagging behind</w:t>
      </w:r>
      <w:r w:rsidR="001270D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two other categories by 11 pp. to 16 pp.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case of Hungary, and 1</w:t>
      </w:r>
      <w:r w:rsidR="00E07AD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6</w:t>
      </w:r>
      <w:r w:rsidR="001270D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pp. to 20 pp.</w:t>
      </w:r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West </w:t>
      </w:r>
      <w:proofErr w:type="spellStart"/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Pannon</w:t>
      </w:r>
      <w:proofErr w:type="spellEnd"/>
      <w:r w:rsidR="000D7DAE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. </w:t>
      </w:r>
    </w:p>
    <w:tbl>
      <w:tblPr>
        <w:tblStyle w:val="Tabela-Siatka"/>
        <w:tblW w:w="4982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329"/>
        <w:gridCol w:w="36"/>
        <w:gridCol w:w="1543"/>
        <w:gridCol w:w="30"/>
        <w:gridCol w:w="1361"/>
        <w:gridCol w:w="36"/>
        <w:gridCol w:w="1545"/>
      </w:tblGrid>
      <w:tr w:rsidR="00E265F8" w:rsidRPr="00E6181A" w:rsidTr="00921C6E">
        <w:trPr>
          <w:trHeight w:val="255"/>
        </w:trPr>
        <w:tc>
          <w:tcPr>
            <w:tcW w:w="269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837A1D" w:rsidRDefault="00E265F8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</w:pPr>
            <w:r w:rsidRPr="00837A1D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Regional OP </w:t>
            </w:r>
            <w:r w:rsidRPr="00837A1D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[ERDF]</w:t>
            </w:r>
          </w:p>
        </w:tc>
        <w:tc>
          <w:tcPr>
            <w:tcW w:w="799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837A1D" w:rsidRDefault="00E265F8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837A1D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 xml:space="preserve">West </w:t>
            </w:r>
            <w:proofErr w:type="spellStart"/>
            <w:r w:rsidRPr="00837A1D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Pannon</w:t>
            </w:r>
            <w:proofErr w:type="spellEnd"/>
          </w:p>
        </w:tc>
        <w:tc>
          <w:tcPr>
            <w:tcW w:w="704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E6181A" w:rsidRDefault="00E265F8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E265F8" w:rsidRPr="00E6181A" w:rsidRDefault="00E265F8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Unit</w:t>
            </w:r>
          </w:p>
        </w:tc>
      </w:tr>
      <w:tr w:rsidR="00E265F8" w:rsidRPr="00E6181A" w:rsidTr="00921C6E">
        <w:trPr>
          <w:trHeight w:val="255"/>
        </w:trPr>
        <w:tc>
          <w:tcPr>
            <w:tcW w:w="2715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Allocations</w:t>
            </w:r>
            <w:proofErr w:type="spellEnd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to </w:t>
            </w:r>
            <w:proofErr w:type="spellStart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Regional</w:t>
            </w:r>
            <w:proofErr w:type="spellEnd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EC02F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E265F8" w:rsidRPr="00E6181A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</w:tr>
      <w:tr w:rsidR="00E265F8" w:rsidRPr="00E6181A" w:rsidTr="00921C6E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</w:t>
            </w:r>
          </w:p>
        </w:tc>
        <w:tc>
          <w:tcPr>
            <w:tcW w:w="799" w:type="pct"/>
            <w:gridSpan w:val="2"/>
            <w:noWrap/>
            <w:hideMark/>
          </w:tcPr>
          <w:p w:rsidR="00E265F8" w:rsidRPr="00E6181A" w:rsidRDefault="001F3B79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463.8</w:t>
            </w:r>
          </w:p>
        </w:tc>
        <w:tc>
          <w:tcPr>
            <w:tcW w:w="704" w:type="pct"/>
            <w:gridSpan w:val="2"/>
            <w:noWrap/>
            <w:hideMark/>
          </w:tcPr>
          <w:p w:rsidR="00E265F8" w:rsidRPr="00E6181A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6489.6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921C6E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2014-2020</w:t>
            </w:r>
          </w:p>
        </w:tc>
        <w:tc>
          <w:tcPr>
            <w:tcW w:w="799" w:type="pct"/>
            <w:gridSpan w:val="2"/>
            <w:noWrap/>
            <w:hideMark/>
          </w:tcPr>
          <w:p w:rsidR="00E265F8" w:rsidRPr="00E6181A" w:rsidRDefault="001F3B79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04" w:type="pct"/>
            <w:gridSpan w:val="2"/>
            <w:noWrap/>
            <w:hideMark/>
          </w:tcPr>
          <w:p w:rsidR="00E265F8" w:rsidRPr="00E6181A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463.7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E265F8" w:rsidRPr="00E6181A" w:rsidTr="00921C6E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99" w:type="pct"/>
            <w:gridSpan w:val="2"/>
            <w:noWrap/>
            <w:hideMark/>
          </w:tcPr>
          <w:p w:rsidR="00E265F8" w:rsidRPr="00E6181A" w:rsidRDefault="001F3B79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04" w:type="pct"/>
            <w:gridSpan w:val="2"/>
            <w:noWrap/>
            <w:hideMark/>
          </w:tcPr>
          <w:p w:rsidR="00E265F8" w:rsidRPr="00E6181A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E265F8" w:rsidRPr="004A330D" w:rsidTr="00921C6E">
        <w:trPr>
          <w:trHeight w:val="255"/>
        </w:trPr>
        <w:tc>
          <w:tcPr>
            <w:tcW w:w="2715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E265F8" w:rsidRPr="004A7819" w:rsidRDefault="00756596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Reported achievements: </w:t>
            </w:r>
            <w:r w:rsidR="00E265F8"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period 2007-2013  [as in 2013]</w:t>
            </w:r>
          </w:p>
        </w:tc>
        <w:tc>
          <w:tcPr>
            <w:tcW w:w="796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4A7819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gridSpan w:val="2"/>
            <w:tcBorders>
              <w:top w:val="single" w:sz="18" w:space="0" w:color="0070C0"/>
              <w:left w:val="nil"/>
              <w:right w:val="nil"/>
            </w:tcBorders>
            <w:shd w:val="clear" w:color="auto" w:fill="DBE5F1" w:themeFill="accent1" w:themeFillTint="33"/>
          </w:tcPr>
          <w:p w:rsidR="00E265F8" w:rsidRPr="004A7819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2" w:type="pct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E265F8" w:rsidRPr="004A7819" w:rsidRDefault="00E265F8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265F8" w:rsidRPr="00E6181A" w:rsidTr="00921C6E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created</w:t>
            </w:r>
            <w:proofErr w:type="spellEnd"/>
          </w:p>
        </w:tc>
        <w:tc>
          <w:tcPr>
            <w:tcW w:w="799" w:type="pct"/>
            <w:gridSpan w:val="2"/>
            <w:noWrap/>
            <w:hideMark/>
          </w:tcPr>
          <w:p w:rsidR="00E265F8" w:rsidRPr="00E6181A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704" w:type="pct"/>
            <w:gridSpan w:val="2"/>
            <w:noWrap/>
            <w:hideMark/>
          </w:tcPr>
          <w:p w:rsidR="00E265F8" w:rsidRPr="00E6181A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91535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E265F8" w:rsidRPr="00E6181A" w:rsidTr="00921C6E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921C6E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R</w:t>
            </w:r>
            <w:r w:rsidR="00E265F8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econstructed roads</w:t>
            </w:r>
          </w:p>
        </w:tc>
        <w:tc>
          <w:tcPr>
            <w:tcW w:w="799" w:type="pct"/>
            <w:gridSpan w:val="2"/>
            <w:noWrap/>
            <w:hideMark/>
          </w:tcPr>
          <w:p w:rsidR="00E265F8" w:rsidRPr="00E6181A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4" w:type="pct"/>
            <w:gridSpan w:val="2"/>
            <w:noWrap/>
            <w:hideMark/>
          </w:tcPr>
          <w:p w:rsidR="00E265F8" w:rsidRPr="00E6181A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km</w:t>
            </w:r>
          </w:p>
        </w:tc>
      </w:tr>
      <w:tr w:rsidR="00E265F8" w:rsidRPr="00E6181A" w:rsidTr="00921C6E">
        <w:trPr>
          <w:trHeight w:val="255"/>
        </w:trPr>
        <w:tc>
          <w:tcPr>
            <w:tcW w:w="2697" w:type="pct"/>
            <w:tcBorders>
              <w:left w:val="single" w:sz="18" w:space="0" w:color="0070C0"/>
            </w:tcBorders>
            <w:noWrap/>
            <w:hideMark/>
          </w:tcPr>
          <w:p w:rsidR="00E265F8" w:rsidRPr="00E6181A" w:rsidRDefault="00921C6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21C6E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Additional population served with improved urban transport</w:t>
            </w:r>
          </w:p>
        </w:tc>
        <w:tc>
          <w:tcPr>
            <w:tcW w:w="799" w:type="pct"/>
            <w:gridSpan w:val="2"/>
            <w:noWrap/>
            <w:hideMark/>
          </w:tcPr>
          <w:p w:rsidR="00E265F8" w:rsidRPr="00921C6E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614309</w:t>
            </w:r>
          </w:p>
        </w:tc>
        <w:tc>
          <w:tcPr>
            <w:tcW w:w="704" w:type="pct"/>
            <w:gridSpan w:val="2"/>
            <w:noWrap/>
            <w:hideMark/>
          </w:tcPr>
          <w:p w:rsidR="00E265F8" w:rsidRPr="00921C6E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4207362</w:t>
            </w:r>
          </w:p>
        </w:tc>
        <w:tc>
          <w:tcPr>
            <w:tcW w:w="800" w:type="pct"/>
            <w:gridSpan w:val="2"/>
            <w:tcBorders>
              <w:right w:val="single" w:sz="18" w:space="0" w:color="0070C0"/>
            </w:tcBorders>
            <w:noWrap/>
            <w:hideMark/>
          </w:tcPr>
          <w:p w:rsidR="00E265F8" w:rsidRPr="00E6181A" w:rsidRDefault="00921C6E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persons</w:t>
            </w:r>
            <w:proofErr w:type="spellEnd"/>
          </w:p>
        </w:tc>
      </w:tr>
      <w:tr w:rsidR="00E265F8" w:rsidRPr="00E6181A" w:rsidTr="00921C6E">
        <w:trPr>
          <w:trHeight w:val="255"/>
        </w:trPr>
        <w:tc>
          <w:tcPr>
            <w:tcW w:w="2697" w:type="pct"/>
            <w:tcBorders>
              <w:left w:val="single" w:sz="18" w:space="0" w:color="0070C0"/>
              <w:bottom w:val="single" w:sz="18" w:space="0" w:color="0070C0"/>
            </w:tcBorders>
            <w:noWrap/>
            <w:hideMark/>
          </w:tcPr>
          <w:p w:rsidR="00E265F8" w:rsidRPr="00E6181A" w:rsidRDefault="00E265F8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D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irect investment aid projects to SME</w:t>
            </w:r>
          </w:p>
        </w:tc>
        <w:tc>
          <w:tcPr>
            <w:tcW w:w="799" w:type="pct"/>
            <w:gridSpan w:val="2"/>
            <w:tcBorders>
              <w:bottom w:val="single" w:sz="18" w:space="0" w:color="0070C0"/>
            </w:tcBorders>
            <w:noWrap/>
            <w:hideMark/>
          </w:tcPr>
          <w:p w:rsidR="00E265F8" w:rsidRPr="00581C0C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355</w:t>
            </w:r>
          </w:p>
        </w:tc>
        <w:tc>
          <w:tcPr>
            <w:tcW w:w="704" w:type="pct"/>
            <w:gridSpan w:val="2"/>
            <w:tcBorders>
              <w:bottom w:val="single" w:sz="18" w:space="0" w:color="0070C0"/>
            </w:tcBorders>
            <w:noWrap/>
            <w:hideMark/>
          </w:tcPr>
          <w:p w:rsidR="00E265F8" w:rsidRPr="00581C0C" w:rsidRDefault="00921C6E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40273</w:t>
            </w:r>
          </w:p>
        </w:tc>
        <w:tc>
          <w:tcPr>
            <w:tcW w:w="800" w:type="pct"/>
            <w:gridSpan w:val="2"/>
            <w:tcBorders>
              <w:bottom w:val="single" w:sz="18" w:space="0" w:color="0070C0"/>
              <w:right w:val="single" w:sz="18" w:space="0" w:color="0070C0"/>
            </w:tcBorders>
            <w:noWrap/>
            <w:hideMark/>
          </w:tcPr>
          <w:p w:rsidR="00E265F8" w:rsidRPr="00E6181A" w:rsidRDefault="00E265F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</w:tbl>
    <w:p w:rsidR="003C750D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CD704C" w:rsidRDefault="00F14E25" w:rsidP="00E07AD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Allocation for the West Pannon Regional OP amounted to 7% of total ERDF funds devoted to regional programmes in Hungary in the 2007-2013 programming period. The subsequent programming period has seen a significant centralization of funds’ distribution, and a regional OP for West Pannon </w:t>
      </w:r>
      <w:r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was discontinued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</w:t>
      </w:r>
      <w:r w:rsidR="00221148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The reported</w:t>
      </w:r>
      <w:r w:rsidR="003C750D" w:rsidRPr="009B0D0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number of jobs created 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as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a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result of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CD704C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implementation</w:t>
      </w:r>
      <w:r w:rsidR="00CD704C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of</w:t>
      </w:r>
      <w:r w:rsidR="003946EE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Regional OP amounted to 3120, compared with over 90 thousands for entire Hungary. The disparity between regional and national level </w:t>
      </w:r>
      <w:r w:rsidR="00EC02F9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is even more pronounced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EC02F9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with regard to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  <w:r w:rsid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</w:t>
      </w:r>
      <w:r w:rsidR="00EC02F9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number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of </w:t>
      </w:r>
      <w:r w:rsidR="00EC02F9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direct</w:t>
      </w:r>
      <w:r w:rsidR="00EC02F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investment aid projects to SME – only 355 in West Pannon, as compared to over 40 thousands for the whole country.  </w:t>
      </w:r>
    </w:p>
    <w:p w:rsidR="003C750D" w:rsidRDefault="003C750D" w:rsidP="003C750D">
      <w:pPr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3C750D" w:rsidRPr="00E6181A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sectPr w:rsidR="003C750D" w:rsidRPr="00E6181A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C2" w:rsidRDefault="006C17C2" w:rsidP="008070D0">
      <w:pPr>
        <w:spacing w:after="0" w:line="240" w:lineRule="auto"/>
      </w:pPr>
      <w:r>
        <w:separator/>
      </w:r>
    </w:p>
  </w:endnote>
  <w:endnote w:type="continuationSeparator" w:id="0">
    <w:p w:rsidR="006C17C2" w:rsidRDefault="006C17C2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C2" w:rsidRDefault="006C17C2" w:rsidP="008070D0">
      <w:pPr>
        <w:spacing w:after="0" w:line="240" w:lineRule="auto"/>
      </w:pPr>
      <w:r>
        <w:separator/>
      </w:r>
    </w:p>
  </w:footnote>
  <w:footnote w:type="continuationSeparator" w:id="0">
    <w:p w:rsidR="006C17C2" w:rsidRDefault="006C17C2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75659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5C6654" wp14:editId="73CE464E">
          <wp:simplePos x="0" y="0"/>
          <wp:positionH relativeFrom="column">
            <wp:posOffset>4328795</wp:posOffset>
          </wp:positionH>
          <wp:positionV relativeFrom="paragraph">
            <wp:posOffset>-331792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loszaj">
    <w15:presenceInfo w15:providerId="Windows Live" w15:userId="068e2a2a15605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qgUA/uUedywAAAA="/>
  </w:docVars>
  <w:rsids>
    <w:rsidRoot w:val="00A56F2A"/>
    <w:rsid w:val="00020410"/>
    <w:rsid w:val="00041C48"/>
    <w:rsid w:val="00094052"/>
    <w:rsid w:val="000D7DAE"/>
    <w:rsid w:val="000E6E42"/>
    <w:rsid w:val="001270D4"/>
    <w:rsid w:val="00127195"/>
    <w:rsid w:val="001F3B79"/>
    <w:rsid w:val="00211151"/>
    <w:rsid w:val="00211D4A"/>
    <w:rsid w:val="00221148"/>
    <w:rsid w:val="00227060"/>
    <w:rsid w:val="00251FE3"/>
    <w:rsid w:val="00262AC8"/>
    <w:rsid w:val="00294768"/>
    <w:rsid w:val="002D268A"/>
    <w:rsid w:val="00303CBA"/>
    <w:rsid w:val="00386949"/>
    <w:rsid w:val="003946EE"/>
    <w:rsid w:val="003B331E"/>
    <w:rsid w:val="003C750D"/>
    <w:rsid w:val="003D4C84"/>
    <w:rsid w:val="003E4D75"/>
    <w:rsid w:val="003E7766"/>
    <w:rsid w:val="00416766"/>
    <w:rsid w:val="00451674"/>
    <w:rsid w:val="004A330D"/>
    <w:rsid w:val="004A7819"/>
    <w:rsid w:val="004B7124"/>
    <w:rsid w:val="00581C0C"/>
    <w:rsid w:val="00680019"/>
    <w:rsid w:val="006C17C2"/>
    <w:rsid w:val="006E4D55"/>
    <w:rsid w:val="006E78F8"/>
    <w:rsid w:val="006E7FD8"/>
    <w:rsid w:val="00756596"/>
    <w:rsid w:val="00795B0F"/>
    <w:rsid w:val="008070D0"/>
    <w:rsid w:val="00837A1D"/>
    <w:rsid w:val="008A2D04"/>
    <w:rsid w:val="00921C6E"/>
    <w:rsid w:val="009B0D0C"/>
    <w:rsid w:val="009F5B5E"/>
    <w:rsid w:val="00A56F2A"/>
    <w:rsid w:val="00AD5513"/>
    <w:rsid w:val="00B51A15"/>
    <w:rsid w:val="00BA7E8E"/>
    <w:rsid w:val="00C201C3"/>
    <w:rsid w:val="00C27C6F"/>
    <w:rsid w:val="00C742A0"/>
    <w:rsid w:val="00CA0E0A"/>
    <w:rsid w:val="00CD704C"/>
    <w:rsid w:val="00D066FD"/>
    <w:rsid w:val="00DA6AF4"/>
    <w:rsid w:val="00E07ADD"/>
    <w:rsid w:val="00E265F8"/>
    <w:rsid w:val="00E6181A"/>
    <w:rsid w:val="00E64D4C"/>
    <w:rsid w:val="00E95825"/>
    <w:rsid w:val="00EC02F9"/>
    <w:rsid w:val="00F0456E"/>
    <w:rsid w:val="00F14E25"/>
    <w:rsid w:val="00F269AC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954F-1DC2-4D8E-A5B1-D4D4B16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4</cp:revision>
  <dcterms:created xsi:type="dcterms:W3CDTF">2017-02-22T13:41:00Z</dcterms:created>
  <dcterms:modified xsi:type="dcterms:W3CDTF">2017-02-27T21:21:00Z</dcterms:modified>
</cp:coreProperties>
</file>