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81A" w:rsidRDefault="00A56F2A" w:rsidP="009B0D0C">
      <w:pPr>
        <w:pStyle w:val="lvl1Heading"/>
        <w:spacing w:before="120"/>
        <w:ind w:left="357" w:hanging="357"/>
      </w:pPr>
      <w:r w:rsidRPr="00E6181A">
        <w:t>Factsheet on Cohesion Policy i</w:t>
      </w:r>
      <w:r w:rsidR="00E6181A">
        <w:t>mplementation and performance</w:t>
      </w:r>
    </w:p>
    <w:p w:rsidR="003B331E" w:rsidRPr="00E6181A" w:rsidRDefault="00E6181A" w:rsidP="009B0D0C">
      <w:pPr>
        <w:pStyle w:val="lvl1Heading"/>
        <w:spacing w:before="120"/>
        <w:ind w:left="357" w:hanging="357"/>
      </w:pPr>
      <w:r>
        <w:t>C</w:t>
      </w:r>
      <w:r w:rsidR="00A56F2A" w:rsidRPr="00E6181A">
        <w:t xml:space="preserve">ase study regions in </w:t>
      </w:r>
      <w:r w:rsidR="0003713C">
        <w:t>Greece</w:t>
      </w:r>
    </w:p>
    <w:p w:rsidR="00A56F2A" w:rsidRDefault="00077807" w:rsidP="00E95825">
      <w:pPr>
        <w:spacing w:after="160" w:line="240" w:lineRule="auto"/>
        <w:jc w:val="right"/>
        <w:rPr>
          <w:rFonts w:ascii="Century Gothic" w:eastAsia="MS Mincho" w:hAnsi="Century Gothic" w:cs="Arial"/>
          <w:bCs/>
          <w:color w:val="0D8B95"/>
          <w:kern w:val="24"/>
          <w:sz w:val="24"/>
          <w:szCs w:val="28"/>
          <w:lang w:val="en-GB" w:eastAsia="ja-JP"/>
        </w:rPr>
      </w:pPr>
      <w:r>
        <w:rPr>
          <w:rFonts w:ascii="Century Gothic" w:eastAsia="MS Mincho" w:hAnsi="Century Gothic" w:cs="Arial"/>
          <w:bCs/>
          <w:color w:val="0D8B95"/>
          <w:kern w:val="24"/>
          <w:sz w:val="24"/>
          <w:szCs w:val="28"/>
          <w:lang w:val="en-GB" w:eastAsia="ja-JP"/>
        </w:rPr>
        <w:t>Version 22</w:t>
      </w:r>
      <w:r w:rsidR="00E6181A" w:rsidRPr="00E95825">
        <w:rPr>
          <w:rFonts w:ascii="Century Gothic" w:eastAsia="MS Mincho" w:hAnsi="Century Gothic" w:cs="Arial"/>
          <w:bCs/>
          <w:color w:val="0D8B95"/>
          <w:kern w:val="24"/>
          <w:sz w:val="24"/>
          <w:szCs w:val="28"/>
          <w:lang w:val="en-GB" w:eastAsia="ja-JP"/>
        </w:rPr>
        <w:t>.0</w:t>
      </w:r>
      <w:r w:rsidR="009F5B5E">
        <w:rPr>
          <w:rFonts w:ascii="Century Gothic" w:eastAsia="MS Mincho" w:hAnsi="Century Gothic" w:cs="Arial"/>
          <w:bCs/>
          <w:color w:val="0D8B95"/>
          <w:kern w:val="24"/>
          <w:sz w:val="24"/>
          <w:szCs w:val="28"/>
          <w:lang w:val="en-GB" w:eastAsia="ja-JP"/>
        </w:rPr>
        <w:t>2</w:t>
      </w:r>
      <w:r w:rsidR="00E6181A" w:rsidRPr="00E95825">
        <w:rPr>
          <w:rFonts w:ascii="Century Gothic" w:eastAsia="MS Mincho" w:hAnsi="Century Gothic" w:cs="Arial"/>
          <w:bCs/>
          <w:color w:val="0D8B95"/>
          <w:kern w:val="24"/>
          <w:sz w:val="24"/>
          <w:szCs w:val="28"/>
          <w:lang w:val="en-GB" w:eastAsia="ja-JP"/>
        </w:rPr>
        <w:t>.2017,</w:t>
      </w:r>
      <w:r w:rsidR="00386949" w:rsidRPr="00E95825">
        <w:rPr>
          <w:rFonts w:ascii="Century Gothic" w:eastAsia="MS Mincho" w:hAnsi="Century Gothic" w:cs="Arial"/>
          <w:bCs/>
          <w:color w:val="0D8B95"/>
          <w:kern w:val="24"/>
          <w:sz w:val="24"/>
          <w:szCs w:val="28"/>
          <w:lang w:val="en-GB" w:eastAsia="ja-JP"/>
        </w:rPr>
        <w:t xml:space="preserve"> EUROREG</w:t>
      </w:r>
    </w:p>
    <w:tbl>
      <w:tblPr>
        <w:tblStyle w:val="Tabela-Siatka"/>
        <w:tblW w:w="5000" w:type="pct"/>
        <w:tblCellMar>
          <w:top w:w="28" w:type="dxa"/>
          <w:left w:w="85" w:type="dxa"/>
          <w:bottom w:w="28" w:type="dxa"/>
          <w:right w:w="85" w:type="dxa"/>
        </w:tblCellMar>
        <w:tblLook w:val="04A0" w:firstRow="1" w:lastRow="0" w:firstColumn="1" w:lastColumn="0" w:noHBand="0" w:noVBand="1"/>
      </w:tblPr>
      <w:tblGrid>
        <w:gridCol w:w="4352"/>
        <w:gridCol w:w="2098"/>
        <w:gridCol w:w="1733"/>
        <w:gridCol w:w="1733"/>
      </w:tblGrid>
      <w:tr w:rsidR="00C74AAF" w:rsidRPr="00E6181A" w:rsidTr="00C74AAF">
        <w:trPr>
          <w:trHeight w:val="255"/>
        </w:trPr>
        <w:tc>
          <w:tcPr>
            <w:tcW w:w="2194" w:type="pct"/>
            <w:tcBorders>
              <w:top w:val="single" w:sz="18" w:space="0" w:color="00B050"/>
              <w:left w:val="single" w:sz="18" w:space="0" w:color="00B050"/>
              <w:bottom w:val="single" w:sz="18" w:space="0" w:color="00B050"/>
            </w:tcBorders>
            <w:shd w:val="clear" w:color="auto" w:fill="C2D69B" w:themeFill="accent3" w:themeFillTint="99"/>
            <w:noWrap/>
            <w:hideMark/>
          </w:tcPr>
          <w:p w:rsidR="00C74AAF" w:rsidRPr="00E6181A" w:rsidRDefault="00C74AAF" w:rsidP="00A56F2A">
            <w:pPr>
              <w:rPr>
                <w:rFonts w:ascii="Corbel" w:eastAsia="Times New Roman" w:hAnsi="Corbel" w:cs="Arial"/>
                <w:b/>
                <w:color w:val="000000"/>
                <w:sz w:val="20"/>
                <w:szCs w:val="20"/>
                <w:lang w:val="en-US" w:eastAsia="pl-PL"/>
              </w:rPr>
            </w:pPr>
            <w:r w:rsidRPr="00E6181A">
              <w:rPr>
                <w:rFonts w:ascii="Corbel" w:eastAsia="Times New Roman" w:hAnsi="Corbel" w:cs="Arial"/>
                <w:b/>
                <w:color w:val="000000"/>
                <w:sz w:val="20"/>
                <w:szCs w:val="20"/>
                <w:lang w:val="en-US" w:eastAsia="pl-PL"/>
              </w:rPr>
              <w:t>Basic info</w:t>
            </w:r>
          </w:p>
        </w:tc>
        <w:tc>
          <w:tcPr>
            <w:tcW w:w="1058" w:type="pct"/>
            <w:tcBorders>
              <w:top w:val="single" w:sz="18" w:space="0" w:color="00B050"/>
              <w:bottom w:val="single" w:sz="18" w:space="0" w:color="00B050"/>
            </w:tcBorders>
            <w:shd w:val="clear" w:color="auto" w:fill="C2D69B" w:themeFill="accent3" w:themeFillTint="99"/>
            <w:noWrap/>
            <w:hideMark/>
          </w:tcPr>
          <w:p w:rsidR="00C74AAF" w:rsidRPr="00E6181A" w:rsidRDefault="00C74AAF" w:rsidP="009B0D0C">
            <w:pPr>
              <w:jc w:val="center"/>
              <w:rPr>
                <w:rFonts w:ascii="Corbel" w:eastAsia="Times New Roman" w:hAnsi="Corbel" w:cs="Arial"/>
                <w:b/>
                <w:color w:val="000000"/>
                <w:sz w:val="20"/>
                <w:szCs w:val="20"/>
                <w:lang w:val="en-US" w:eastAsia="pl-PL"/>
              </w:rPr>
            </w:pPr>
            <w:r>
              <w:rPr>
                <w:rFonts w:ascii="Corbel" w:eastAsia="Times New Roman" w:hAnsi="Corbel" w:cs="Arial"/>
                <w:b/>
                <w:color w:val="000000"/>
                <w:sz w:val="20"/>
                <w:szCs w:val="20"/>
                <w:lang w:val="en-US" w:eastAsia="pl-PL"/>
              </w:rPr>
              <w:t>Central Macedonia</w:t>
            </w:r>
          </w:p>
        </w:tc>
        <w:tc>
          <w:tcPr>
            <w:tcW w:w="874" w:type="pct"/>
            <w:tcBorders>
              <w:top w:val="single" w:sz="18" w:space="0" w:color="00B050"/>
              <w:bottom w:val="single" w:sz="18" w:space="0" w:color="00B050"/>
            </w:tcBorders>
            <w:shd w:val="clear" w:color="auto" w:fill="C2D69B" w:themeFill="accent3" w:themeFillTint="99"/>
            <w:noWrap/>
            <w:hideMark/>
          </w:tcPr>
          <w:p w:rsidR="00C74AAF" w:rsidRPr="00E6181A" w:rsidRDefault="00C74AAF" w:rsidP="009B0D0C">
            <w:pPr>
              <w:jc w:val="center"/>
              <w:rPr>
                <w:rFonts w:ascii="Corbel" w:eastAsia="Times New Roman" w:hAnsi="Corbel" w:cs="Arial"/>
                <w:b/>
                <w:color w:val="000000"/>
                <w:sz w:val="20"/>
                <w:szCs w:val="20"/>
                <w:lang w:val="en-US" w:eastAsia="pl-PL"/>
              </w:rPr>
            </w:pPr>
            <w:r>
              <w:rPr>
                <w:rFonts w:ascii="Corbel" w:eastAsia="Times New Roman" w:hAnsi="Corbel" w:cs="Arial"/>
                <w:b/>
                <w:color w:val="000000"/>
                <w:sz w:val="20"/>
                <w:szCs w:val="20"/>
                <w:lang w:val="en-US" w:eastAsia="pl-PL"/>
              </w:rPr>
              <w:t>Greece</w:t>
            </w:r>
          </w:p>
        </w:tc>
        <w:tc>
          <w:tcPr>
            <w:tcW w:w="874" w:type="pct"/>
            <w:tcBorders>
              <w:top w:val="single" w:sz="18" w:space="0" w:color="00B050"/>
              <w:bottom w:val="single" w:sz="18" w:space="0" w:color="00B050"/>
              <w:right w:val="single" w:sz="18" w:space="0" w:color="00B050"/>
            </w:tcBorders>
            <w:shd w:val="clear" w:color="auto" w:fill="C2D69B" w:themeFill="accent3" w:themeFillTint="99"/>
            <w:noWrap/>
            <w:hideMark/>
          </w:tcPr>
          <w:p w:rsidR="00C74AAF" w:rsidRPr="00E6181A" w:rsidRDefault="00C74AAF" w:rsidP="009B0D0C">
            <w:pPr>
              <w:jc w:val="center"/>
              <w:rPr>
                <w:rFonts w:ascii="Corbel" w:eastAsia="Times New Roman" w:hAnsi="Corbel" w:cs="Arial"/>
                <w:b/>
                <w:color w:val="000000"/>
                <w:sz w:val="20"/>
                <w:szCs w:val="20"/>
                <w:lang w:val="en-US" w:eastAsia="pl-PL"/>
              </w:rPr>
            </w:pPr>
            <w:r w:rsidRPr="00E6181A">
              <w:rPr>
                <w:rFonts w:ascii="Corbel" w:eastAsia="Times New Roman" w:hAnsi="Corbel" w:cs="Arial"/>
                <w:b/>
                <w:color w:val="000000"/>
                <w:sz w:val="20"/>
                <w:szCs w:val="20"/>
                <w:lang w:val="en-US" w:eastAsia="pl-PL"/>
              </w:rPr>
              <w:t>Unit</w:t>
            </w:r>
          </w:p>
        </w:tc>
      </w:tr>
      <w:tr w:rsidR="00C74AAF" w:rsidRPr="00E6181A" w:rsidTr="00C74AAF">
        <w:trPr>
          <w:trHeight w:val="255"/>
        </w:trPr>
        <w:tc>
          <w:tcPr>
            <w:tcW w:w="2194" w:type="pct"/>
            <w:tcBorders>
              <w:top w:val="single" w:sz="18" w:space="0" w:color="00B050"/>
              <w:left w:val="single" w:sz="18" w:space="0" w:color="00B050"/>
            </w:tcBorders>
            <w:noWrap/>
            <w:hideMark/>
          </w:tcPr>
          <w:p w:rsidR="00C74AAF" w:rsidRPr="00E6181A" w:rsidRDefault="00C74AAF" w:rsidP="009B0D0C">
            <w:pPr>
              <w:rPr>
                <w:rFonts w:ascii="Corbel" w:eastAsia="Times New Roman" w:hAnsi="Corbel" w:cs="Arial"/>
                <w:color w:val="000000"/>
                <w:sz w:val="20"/>
                <w:szCs w:val="20"/>
                <w:lang w:val="en-US" w:eastAsia="pl-PL"/>
              </w:rPr>
            </w:pPr>
            <w:r w:rsidRPr="00E6181A">
              <w:rPr>
                <w:rFonts w:ascii="Corbel" w:eastAsia="Times New Roman" w:hAnsi="Corbel" w:cs="Arial"/>
                <w:color w:val="000000"/>
                <w:sz w:val="20"/>
                <w:szCs w:val="20"/>
                <w:lang w:val="en-US" w:eastAsia="pl-PL"/>
              </w:rPr>
              <w:t>Population [2008]</w:t>
            </w:r>
          </w:p>
        </w:tc>
        <w:tc>
          <w:tcPr>
            <w:tcW w:w="1058" w:type="pct"/>
            <w:tcBorders>
              <w:top w:val="single" w:sz="18" w:space="0" w:color="00B050"/>
            </w:tcBorders>
            <w:noWrap/>
          </w:tcPr>
          <w:p w:rsidR="00C74AAF" w:rsidRPr="00E6181A" w:rsidRDefault="00C74AAF" w:rsidP="00A56F2A">
            <w:pPr>
              <w:jc w:val="right"/>
              <w:rPr>
                <w:rFonts w:ascii="Corbel" w:eastAsia="Times New Roman" w:hAnsi="Corbel" w:cs="Arial"/>
                <w:color w:val="000000"/>
                <w:sz w:val="20"/>
                <w:szCs w:val="20"/>
                <w:lang w:val="en-US" w:eastAsia="pl-PL"/>
              </w:rPr>
            </w:pPr>
            <w:r>
              <w:rPr>
                <w:rFonts w:ascii="Corbel" w:eastAsia="Times New Roman" w:hAnsi="Corbel" w:cs="Arial"/>
                <w:color w:val="000000"/>
                <w:sz w:val="20"/>
                <w:szCs w:val="20"/>
                <w:lang w:val="en-US" w:eastAsia="pl-PL"/>
              </w:rPr>
              <w:t>1905.9</w:t>
            </w:r>
          </w:p>
        </w:tc>
        <w:tc>
          <w:tcPr>
            <w:tcW w:w="874" w:type="pct"/>
            <w:tcBorders>
              <w:top w:val="single" w:sz="18" w:space="0" w:color="00B050"/>
            </w:tcBorders>
            <w:noWrap/>
          </w:tcPr>
          <w:p w:rsidR="00C74AAF" w:rsidRPr="00E6181A" w:rsidRDefault="00C74AAF" w:rsidP="00A56F2A">
            <w:pPr>
              <w:jc w:val="right"/>
              <w:rPr>
                <w:rFonts w:ascii="Corbel" w:eastAsia="Times New Roman" w:hAnsi="Corbel" w:cs="Arial"/>
                <w:color w:val="000000"/>
                <w:sz w:val="20"/>
                <w:szCs w:val="20"/>
                <w:lang w:val="en-US" w:eastAsia="pl-PL"/>
              </w:rPr>
            </w:pPr>
            <w:r>
              <w:rPr>
                <w:rFonts w:ascii="Corbel" w:eastAsia="Times New Roman" w:hAnsi="Corbel" w:cs="Arial"/>
                <w:color w:val="000000"/>
                <w:sz w:val="20"/>
                <w:szCs w:val="20"/>
                <w:lang w:val="en-US" w:eastAsia="pl-PL"/>
              </w:rPr>
              <w:t>11060.9</w:t>
            </w:r>
          </w:p>
        </w:tc>
        <w:tc>
          <w:tcPr>
            <w:tcW w:w="874" w:type="pct"/>
            <w:tcBorders>
              <w:top w:val="single" w:sz="18" w:space="0" w:color="00B050"/>
              <w:right w:val="single" w:sz="18" w:space="0" w:color="00B050"/>
            </w:tcBorders>
            <w:noWrap/>
            <w:hideMark/>
          </w:tcPr>
          <w:p w:rsidR="00C74AAF" w:rsidRPr="00E6181A" w:rsidRDefault="00C74AAF" w:rsidP="00A56F2A">
            <w:pPr>
              <w:rPr>
                <w:rFonts w:ascii="Corbel" w:eastAsia="Times New Roman" w:hAnsi="Corbel" w:cs="Arial"/>
                <w:color w:val="000000"/>
                <w:sz w:val="20"/>
                <w:szCs w:val="20"/>
                <w:lang w:val="en-US" w:eastAsia="pl-PL"/>
              </w:rPr>
            </w:pPr>
            <w:proofErr w:type="spellStart"/>
            <w:r w:rsidRPr="00E6181A">
              <w:rPr>
                <w:rFonts w:ascii="Corbel" w:eastAsia="Times New Roman" w:hAnsi="Corbel" w:cs="Arial"/>
                <w:color w:val="000000"/>
                <w:sz w:val="20"/>
                <w:szCs w:val="20"/>
                <w:lang w:val="en-US" w:eastAsia="pl-PL"/>
              </w:rPr>
              <w:t>thous</w:t>
            </w:r>
            <w:proofErr w:type="spellEnd"/>
            <w:r w:rsidRPr="00E6181A">
              <w:rPr>
                <w:rFonts w:ascii="Corbel" w:eastAsia="Times New Roman" w:hAnsi="Corbel" w:cs="Arial"/>
                <w:color w:val="000000"/>
                <w:sz w:val="20"/>
                <w:szCs w:val="20"/>
                <w:lang w:val="en-US" w:eastAsia="pl-PL"/>
              </w:rPr>
              <w:t>.</w:t>
            </w:r>
          </w:p>
        </w:tc>
      </w:tr>
      <w:tr w:rsidR="00C74AAF" w:rsidRPr="00E6181A" w:rsidTr="00C74AAF">
        <w:trPr>
          <w:trHeight w:val="255"/>
        </w:trPr>
        <w:tc>
          <w:tcPr>
            <w:tcW w:w="2194" w:type="pct"/>
            <w:tcBorders>
              <w:left w:val="single" w:sz="18" w:space="0" w:color="00B050"/>
            </w:tcBorders>
            <w:noWrap/>
            <w:hideMark/>
          </w:tcPr>
          <w:p w:rsidR="00C74AAF" w:rsidRPr="00E6181A" w:rsidRDefault="00C74AAF" w:rsidP="009B0D0C">
            <w:pPr>
              <w:rPr>
                <w:rFonts w:ascii="Corbel" w:eastAsia="Times New Roman" w:hAnsi="Corbel" w:cs="Arial"/>
                <w:color w:val="000000"/>
                <w:sz w:val="20"/>
                <w:szCs w:val="20"/>
                <w:lang w:val="en-US" w:eastAsia="pl-PL"/>
              </w:rPr>
            </w:pPr>
            <w:r w:rsidRPr="00E6181A">
              <w:rPr>
                <w:rFonts w:ascii="Corbel" w:eastAsia="Times New Roman" w:hAnsi="Corbel" w:cs="Arial"/>
                <w:color w:val="000000"/>
                <w:sz w:val="20"/>
                <w:szCs w:val="20"/>
                <w:lang w:val="en-US" w:eastAsia="pl-PL"/>
              </w:rPr>
              <w:t>GDP [2008]</w:t>
            </w:r>
          </w:p>
        </w:tc>
        <w:tc>
          <w:tcPr>
            <w:tcW w:w="1058" w:type="pct"/>
            <w:noWrap/>
          </w:tcPr>
          <w:p w:rsidR="00C74AAF" w:rsidRPr="00E6181A" w:rsidRDefault="00C74AAF" w:rsidP="00A56F2A">
            <w:pPr>
              <w:jc w:val="right"/>
              <w:rPr>
                <w:rFonts w:ascii="Corbel" w:eastAsia="Times New Roman" w:hAnsi="Corbel" w:cs="Arial"/>
                <w:color w:val="000000"/>
                <w:sz w:val="20"/>
                <w:szCs w:val="20"/>
                <w:lang w:val="en-US" w:eastAsia="pl-PL"/>
              </w:rPr>
            </w:pPr>
            <w:r>
              <w:rPr>
                <w:rFonts w:ascii="Corbel" w:eastAsia="Times New Roman" w:hAnsi="Corbel" w:cs="Arial"/>
                <w:color w:val="000000"/>
                <w:sz w:val="20"/>
                <w:szCs w:val="20"/>
                <w:lang w:val="en-US" w:eastAsia="pl-PL"/>
              </w:rPr>
              <w:t>33304</w:t>
            </w:r>
          </w:p>
        </w:tc>
        <w:tc>
          <w:tcPr>
            <w:tcW w:w="874" w:type="pct"/>
            <w:noWrap/>
          </w:tcPr>
          <w:p w:rsidR="00C74AAF" w:rsidRPr="00E6181A" w:rsidRDefault="00C74AAF" w:rsidP="00A56F2A">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241990</w:t>
            </w:r>
          </w:p>
        </w:tc>
        <w:tc>
          <w:tcPr>
            <w:tcW w:w="874" w:type="pct"/>
            <w:tcBorders>
              <w:right w:val="single" w:sz="18" w:space="0" w:color="00B050"/>
            </w:tcBorders>
            <w:noWrap/>
            <w:hideMark/>
          </w:tcPr>
          <w:p w:rsidR="00C74AAF" w:rsidRPr="00E6181A" w:rsidRDefault="00C74AAF" w:rsidP="00A56F2A">
            <w:pPr>
              <w:rPr>
                <w:rFonts w:ascii="Corbel" w:eastAsia="Times New Roman" w:hAnsi="Corbel" w:cs="Arial"/>
                <w:color w:val="000000"/>
                <w:sz w:val="20"/>
                <w:szCs w:val="20"/>
                <w:lang w:eastAsia="pl-PL"/>
              </w:rPr>
            </w:pPr>
            <w:r w:rsidRPr="00E6181A">
              <w:rPr>
                <w:rFonts w:ascii="Corbel" w:eastAsia="Times New Roman" w:hAnsi="Corbel" w:cs="Arial"/>
                <w:color w:val="000000"/>
                <w:sz w:val="20"/>
                <w:szCs w:val="20"/>
                <w:lang w:eastAsia="pl-PL"/>
              </w:rPr>
              <w:t>mln EUR</w:t>
            </w:r>
          </w:p>
        </w:tc>
      </w:tr>
      <w:tr w:rsidR="00C74AAF" w:rsidRPr="00E6181A" w:rsidTr="00C74AAF">
        <w:trPr>
          <w:trHeight w:val="255"/>
        </w:trPr>
        <w:tc>
          <w:tcPr>
            <w:tcW w:w="2194" w:type="pct"/>
            <w:tcBorders>
              <w:left w:val="single" w:sz="18" w:space="0" w:color="00B050"/>
            </w:tcBorders>
            <w:noWrap/>
            <w:hideMark/>
          </w:tcPr>
          <w:p w:rsidR="00C74AAF" w:rsidRPr="00E6181A" w:rsidRDefault="00C74AAF" w:rsidP="009B0D0C">
            <w:pPr>
              <w:rPr>
                <w:rFonts w:ascii="Corbel" w:eastAsia="Times New Roman" w:hAnsi="Corbel" w:cs="Arial"/>
                <w:color w:val="000000"/>
                <w:sz w:val="20"/>
                <w:szCs w:val="20"/>
                <w:lang w:eastAsia="pl-PL"/>
              </w:rPr>
            </w:pPr>
            <w:proofErr w:type="spellStart"/>
            <w:r w:rsidRPr="00E6181A">
              <w:rPr>
                <w:rFonts w:ascii="Corbel" w:eastAsia="Times New Roman" w:hAnsi="Corbel" w:cs="Arial"/>
                <w:color w:val="000000"/>
                <w:sz w:val="20"/>
                <w:szCs w:val="20"/>
                <w:lang w:eastAsia="pl-PL"/>
              </w:rPr>
              <w:t>Population</w:t>
            </w:r>
            <w:proofErr w:type="spellEnd"/>
            <w:r w:rsidRPr="00E6181A">
              <w:rPr>
                <w:rFonts w:ascii="Corbel" w:eastAsia="Times New Roman" w:hAnsi="Corbel" w:cs="Arial"/>
                <w:color w:val="000000"/>
                <w:sz w:val="20"/>
                <w:szCs w:val="20"/>
                <w:lang w:eastAsia="pl-PL"/>
              </w:rPr>
              <w:t xml:space="preserve"> [2014]</w:t>
            </w:r>
          </w:p>
        </w:tc>
        <w:tc>
          <w:tcPr>
            <w:tcW w:w="1058" w:type="pct"/>
            <w:noWrap/>
          </w:tcPr>
          <w:p w:rsidR="00C74AAF" w:rsidRPr="00E6181A" w:rsidRDefault="00C74AAF" w:rsidP="00A56F2A">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1903.4</w:t>
            </w:r>
          </w:p>
        </w:tc>
        <w:tc>
          <w:tcPr>
            <w:tcW w:w="874" w:type="pct"/>
            <w:noWrap/>
          </w:tcPr>
          <w:p w:rsidR="00C74AAF" w:rsidRPr="00E6181A" w:rsidRDefault="00C74AAF" w:rsidP="00A56F2A">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10926.8</w:t>
            </w:r>
          </w:p>
        </w:tc>
        <w:tc>
          <w:tcPr>
            <w:tcW w:w="874" w:type="pct"/>
            <w:tcBorders>
              <w:right w:val="single" w:sz="18" w:space="0" w:color="00B050"/>
            </w:tcBorders>
            <w:noWrap/>
            <w:hideMark/>
          </w:tcPr>
          <w:p w:rsidR="00C74AAF" w:rsidRPr="00E6181A" w:rsidRDefault="00C74AAF" w:rsidP="00A56F2A">
            <w:pPr>
              <w:rPr>
                <w:rFonts w:ascii="Corbel" w:eastAsia="Times New Roman" w:hAnsi="Corbel" w:cs="Arial"/>
                <w:color w:val="000000"/>
                <w:sz w:val="20"/>
                <w:szCs w:val="20"/>
                <w:lang w:eastAsia="pl-PL"/>
              </w:rPr>
            </w:pPr>
            <w:proofErr w:type="spellStart"/>
            <w:r w:rsidRPr="00E6181A">
              <w:rPr>
                <w:rFonts w:ascii="Corbel" w:eastAsia="Times New Roman" w:hAnsi="Corbel" w:cs="Arial"/>
                <w:color w:val="000000"/>
                <w:sz w:val="20"/>
                <w:szCs w:val="20"/>
                <w:lang w:eastAsia="pl-PL"/>
              </w:rPr>
              <w:t>thous</w:t>
            </w:r>
            <w:proofErr w:type="spellEnd"/>
            <w:r w:rsidRPr="00E6181A">
              <w:rPr>
                <w:rFonts w:ascii="Corbel" w:eastAsia="Times New Roman" w:hAnsi="Corbel" w:cs="Arial"/>
                <w:color w:val="000000"/>
                <w:sz w:val="20"/>
                <w:szCs w:val="20"/>
                <w:lang w:eastAsia="pl-PL"/>
              </w:rPr>
              <w:t>.</w:t>
            </w:r>
          </w:p>
        </w:tc>
      </w:tr>
      <w:tr w:rsidR="00C74AAF" w:rsidRPr="00E6181A" w:rsidTr="00C74AAF">
        <w:trPr>
          <w:trHeight w:val="255"/>
        </w:trPr>
        <w:tc>
          <w:tcPr>
            <w:tcW w:w="2194" w:type="pct"/>
            <w:tcBorders>
              <w:left w:val="single" w:sz="18" w:space="0" w:color="00B050"/>
            </w:tcBorders>
            <w:noWrap/>
            <w:hideMark/>
          </w:tcPr>
          <w:p w:rsidR="00C74AAF" w:rsidRPr="00E6181A" w:rsidRDefault="00C74AAF" w:rsidP="009B0D0C">
            <w:pPr>
              <w:rPr>
                <w:rFonts w:ascii="Corbel" w:eastAsia="Times New Roman" w:hAnsi="Corbel" w:cs="Arial"/>
                <w:color w:val="000000"/>
                <w:sz w:val="20"/>
                <w:szCs w:val="20"/>
                <w:lang w:eastAsia="pl-PL"/>
              </w:rPr>
            </w:pPr>
            <w:r w:rsidRPr="00E6181A">
              <w:rPr>
                <w:rFonts w:ascii="Corbel" w:eastAsia="Times New Roman" w:hAnsi="Corbel" w:cs="Arial"/>
                <w:color w:val="000000"/>
                <w:sz w:val="20"/>
                <w:szCs w:val="20"/>
                <w:lang w:eastAsia="pl-PL"/>
              </w:rPr>
              <w:t>GDP [2014]</w:t>
            </w:r>
          </w:p>
        </w:tc>
        <w:tc>
          <w:tcPr>
            <w:tcW w:w="1058" w:type="pct"/>
            <w:noWrap/>
          </w:tcPr>
          <w:p w:rsidR="00C74AAF" w:rsidRPr="00E6181A" w:rsidRDefault="00C74AAF" w:rsidP="00A56F2A">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23859</w:t>
            </w:r>
          </w:p>
        </w:tc>
        <w:tc>
          <w:tcPr>
            <w:tcW w:w="874" w:type="pct"/>
            <w:noWrap/>
          </w:tcPr>
          <w:p w:rsidR="00C74AAF" w:rsidRPr="00E6181A" w:rsidRDefault="00C74AAF" w:rsidP="00A56F2A">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177559</w:t>
            </w:r>
          </w:p>
        </w:tc>
        <w:tc>
          <w:tcPr>
            <w:tcW w:w="874" w:type="pct"/>
            <w:tcBorders>
              <w:right w:val="single" w:sz="18" w:space="0" w:color="00B050"/>
            </w:tcBorders>
            <w:noWrap/>
            <w:hideMark/>
          </w:tcPr>
          <w:p w:rsidR="00C74AAF" w:rsidRPr="00E6181A" w:rsidRDefault="00C74AAF" w:rsidP="00A56F2A">
            <w:pPr>
              <w:rPr>
                <w:rFonts w:ascii="Corbel" w:eastAsia="Times New Roman" w:hAnsi="Corbel" w:cs="Arial"/>
                <w:color w:val="000000"/>
                <w:sz w:val="20"/>
                <w:szCs w:val="20"/>
                <w:lang w:eastAsia="pl-PL"/>
              </w:rPr>
            </w:pPr>
            <w:r w:rsidRPr="00E6181A">
              <w:rPr>
                <w:rFonts w:ascii="Corbel" w:eastAsia="Times New Roman" w:hAnsi="Corbel" w:cs="Arial"/>
                <w:color w:val="000000"/>
                <w:sz w:val="20"/>
                <w:szCs w:val="20"/>
                <w:lang w:eastAsia="pl-PL"/>
              </w:rPr>
              <w:t>mln EUR</w:t>
            </w:r>
          </w:p>
        </w:tc>
      </w:tr>
      <w:tr w:rsidR="00BA7E8E" w:rsidRPr="00E6181A" w:rsidTr="00C74AAF">
        <w:trPr>
          <w:trHeight w:val="255"/>
        </w:trPr>
        <w:tc>
          <w:tcPr>
            <w:tcW w:w="5000" w:type="pct"/>
            <w:gridSpan w:val="4"/>
            <w:tcBorders>
              <w:top w:val="single" w:sz="18" w:space="0" w:color="00B050"/>
              <w:left w:val="single" w:sz="18" w:space="0" w:color="00B050"/>
              <w:right w:val="single" w:sz="18" w:space="0" w:color="00B050"/>
            </w:tcBorders>
            <w:shd w:val="clear" w:color="auto" w:fill="EAF1DD" w:themeFill="accent3" w:themeFillTint="33"/>
            <w:noWrap/>
            <w:hideMark/>
          </w:tcPr>
          <w:p w:rsidR="00BA7E8E" w:rsidRPr="00E6181A" w:rsidRDefault="00BA7E8E" w:rsidP="00127195">
            <w:pPr>
              <w:rPr>
                <w:rFonts w:ascii="Corbel" w:eastAsia="Times New Roman" w:hAnsi="Corbel" w:cs="Arial"/>
                <w:b/>
                <w:i/>
                <w:color w:val="000000"/>
                <w:sz w:val="20"/>
                <w:szCs w:val="20"/>
                <w:lang w:eastAsia="pl-PL"/>
              </w:rPr>
            </w:pPr>
            <w:r w:rsidRPr="00E6181A">
              <w:rPr>
                <w:rFonts w:ascii="Corbel" w:eastAsia="Times New Roman" w:hAnsi="Corbel" w:cs="Arial"/>
                <w:b/>
                <w:i/>
                <w:color w:val="4F6228" w:themeColor="accent3" w:themeShade="80"/>
                <w:sz w:val="20"/>
                <w:szCs w:val="20"/>
                <w:lang w:eastAsia="pl-PL"/>
              </w:rPr>
              <w:t xml:space="preserve">Total </w:t>
            </w:r>
            <w:proofErr w:type="spellStart"/>
            <w:r w:rsidRPr="00E6181A">
              <w:rPr>
                <w:rFonts w:ascii="Corbel" w:eastAsia="Times New Roman" w:hAnsi="Corbel" w:cs="Arial"/>
                <w:b/>
                <w:i/>
                <w:color w:val="4F6228" w:themeColor="accent3" w:themeShade="80"/>
                <w:sz w:val="20"/>
                <w:szCs w:val="20"/>
                <w:lang w:eastAsia="pl-PL"/>
              </w:rPr>
              <w:t>allocation</w:t>
            </w:r>
            <w:proofErr w:type="spellEnd"/>
          </w:p>
        </w:tc>
      </w:tr>
      <w:tr w:rsidR="00C74AAF" w:rsidRPr="00E6181A" w:rsidTr="00C74AAF">
        <w:trPr>
          <w:trHeight w:val="255"/>
        </w:trPr>
        <w:tc>
          <w:tcPr>
            <w:tcW w:w="2194" w:type="pct"/>
            <w:tcBorders>
              <w:left w:val="single" w:sz="18" w:space="0" w:color="00B050"/>
            </w:tcBorders>
            <w:noWrap/>
            <w:hideMark/>
          </w:tcPr>
          <w:p w:rsidR="00C74AAF" w:rsidRPr="00E6181A" w:rsidRDefault="00C74AAF" w:rsidP="00A56F2A">
            <w:pPr>
              <w:rPr>
                <w:rFonts w:ascii="Corbel" w:eastAsia="Times New Roman" w:hAnsi="Corbel" w:cs="Arial"/>
                <w:color w:val="000000"/>
                <w:sz w:val="20"/>
                <w:szCs w:val="20"/>
                <w:lang w:eastAsia="pl-PL"/>
              </w:rPr>
            </w:pPr>
            <w:proofErr w:type="spellStart"/>
            <w:r w:rsidRPr="00E6181A">
              <w:rPr>
                <w:rFonts w:ascii="Corbel" w:eastAsia="Times New Roman" w:hAnsi="Corbel" w:cs="Arial"/>
                <w:color w:val="000000"/>
                <w:sz w:val="20"/>
                <w:szCs w:val="20"/>
                <w:lang w:eastAsia="pl-PL"/>
              </w:rPr>
              <w:t>Allocation</w:t>
            </w:r>
            <w:proofErr w:type="spellEnd"/>
            <w:r w:rsidRPr="00E6181A">
              <w:rPr>
                <w:rFonts w:ascii="Corbel" w:eastAsia="Times New Roman" w:hAnsi="Corbel" w:cs="Arial"/>
                <w:color w:val="000000"/>
                <w:sz w:val="20"/>
                <w:szCs w:val="20"/>
                <w:lang w:eastAsia="pl-PL"/>
              </w:rPr>
              <w:t xml:space="preserve"> ERDF+CF </w:t>
            </w:r>
            <w:r>
              <w:rPr>
                <w:rFonts w:ascii="Corbel" w:eastAsia="Times New Roman" w:hAnsi="Corbel" w:cs="Arial"/>
                <w:color w:val="000000"/>
                <w:sz w:val="20"/>
                <w:szCs w:val="20"/>
                <w:lang w:eastAsia="pl-PL"/>
              </w:rPr>
              <w:t>[</w:t>
            </w:r>
            <w:r w:rsidRPr="00E6181A">
              <w:rPr>
                <w:rFonts w:ascii="Corbel" w:eastAsia="Times New Roman" w:hAnsi="Corbel" w:cs="Arial"/>
                <w:color w:val="000000"/>
                <w:sz w:val="20"/>
                <w:szCs w:val="20"/>
                <w:lang w:eastAsia="pl-PL"/>
              </w:rPr>
              <w:t>2000-2006</w:t>
            </w:r>
            <w:r>
              <w:rPr>
                <w:rFonts w:ascii="Corbel" w:eastAsia="Times New Roman" w:hAnsi="Corbel" w:cs="Arial"/>
                <w:color w:val="000000"/>
                <w:sz w:val="20"/>
                <w:szCs w:val="20"/>
                <w:lang w:eastAsia="pl-PL"/>
              </w:rPr>
              <w:t>]</w:t>
            </w:r>
          </w:p>
        </w:tc>
        <w:tc>
          <w:tcPr>
            <w:tcW w:w="1058" w:type="pct"/>
            <w:noWrap/>
          </w:tcPr>
          <w:p w:rsidR="00C74AAF" w:rsidRPr="00E6181A" w:rsidRDefault="00C74AAF" w:rsidP="00A56F2A">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2701.6</w:t>
            </w:r>
          </w:p>
        </w:tc>
        <w:tc>
          <w:tcPr>
            <w:tcW w:w="874" w:type="pct"/>
            <w:noWrap/>
          </w:tcPr>
          <w:p w:rsidR="00C74AAF" w:rsidRPr="00E6181A" w:rsidRDefault="00C74AAF" w:rsidP="00A56F2A">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18676.0</w:t>
            </w:r>
          </w:p>
        </w:tc>
        <w:tc>
          <w:tcPr>
            <w:tcW w:w="874" w:type="pct"/>
            <w:tcBorders>
              <w:right w:val="single" w:sz="18" w:space="0" w:color="00B050"/>
            </w:tcBorders>
            <w:noWrap/>
            <w:hideMark/>
          </w:tcPr>
          <w:p w:rsidR="00C74AAF" w:rsidRPr="00E6181A" w:rsidRDefault="00C74AAF" w:rsidP="00A56F2A">
            <w:pPr>
              <w:rPr>
                <w:rFonts w:ascii="Corbel" w:eastAsia="Times New Roman" w:hAnsi="Corbel" w:cs="Arial"/>
                <w:color w:val="000000"/>
                <w:sz w:val="20"/>
                <w:szCs w:val="20"/>
                <w:lang w:eastAsia="pl-PL"/>
              </w:rPr>
            </w:pPr>
            <w:r w:rsidRPr="00E6181A">
              <w:rPr>
                <w:rFonts w:ascii="Corbel" w:eastAsia="Times New Roman" w:hAnsi="Corbel" w:cs="Arial"/>
                <w:color w:val="000000"/>
                <w:sz w:val="20"/>
                <w:szCs w:val="20"/>
                <w:lang w:eastAsia="pl-PL"/>
              </w:rPr>
              <w:t>mln EUR</w:t>
            </w:r>
          </w:p>
        </w:tc>
      </w:tr>
      <w:tr w:rsidR="00C74AAF" w:rsidRPr="00E6181A" w:rsidTr="00C74AAF">
        <w:trPr>
          <w:trHeight w:val="201"/>
        </w:trPr>
        <w:tc>
          <w:tcPr>
            <w:tcW w:w="2194" w:type="pct"/>
            <w:tcBorders>
              <w:left w:val="single" w:sz="18" w:space="0" w:color="00B050"/>
            </w:tcBorders>
            <w:noWrap/>
            <w:hideMark/>
          </w:tcPr>
          <w:p w:rsidR="00C74AAF" w:rsidRPr="00E6181A" w:rsidRDefault="00C74AAF" w:rsidP="00A56F2A">
            <w:pPr>
              <w:rPr>
                <w:rFonts w:ascii="Corbel" w:eastAsia="Times New Roman" w:hAnsi="Corbel" w:cs="Arial"/>
                <w:color w:val="000000"/>
                <w:sz w:val="20"/>
                <w:szCs w:val="20"/>
                <w:lang w:eastAsia="pl-PL"/>
              </w:rPr>
            </w:pPr>
            <w:proofErr w:type="spellStart"/>
            <w:r w:rsidRPr="00E6181A">
              <w:rPr>
                <w:rFonts w:ascii="Corbel" w:eastAsia="Times New Roman" w:hAnsi="Corbel" w:cs="Arial"/>
                <w:color w:val="000000"/>
                <w:sz w:val="20"/>
                <w:szCs w:val="20"/>
                <w:lang w:eastAsia="pl-PL"/>
              </w:rPr>
              <w:t>Allocation</w:t>
            </w:r>
            <w:proofErr w:type="spellEnd"/>
            <w:r w:rsidRPr="00E6181A">
              <w:rPr>
                <w:rFonts w:ascii="Corbel" w:eastAsia="Times New Roman" w:hAnsi="Corbel" w:cs="Arial"/>
                <w:color w:val="000000"/>
                <w:sz w:val="20"/>
                <w:szCs w:val="20"/>
                <w:lang w:eastAsia="pl-PL"/>
              </w:rPr>
              <w:t xml:space="preserve"> ERDF+CF </w:t>
            </w:r>
            <w:r w:rsidR="00415BA6">
              <w:rPr>
                <w:rFonts w:ascii="Corbel" w:eastAsia="Times New Roman" w:hAnsi="Corbel" w:cs="Arial"/>
                <w:color w:val="000000"/>
                <w:sz w:val="20"/>
                <w:szCs w:val="20"/>
                <w:lang w:eastAsia="pl-PL"/>
              </w:rPr>
              <w:t>[</w:t>
            </w:r>
            <w:r w:rsidRPr="00E6181A">
              <w:rPr>
                <w:rFonts w:ascii="Corbel" w:eastAsia="Times New Roman" w:hAnsi="Corbel" w:cs="Arial"/>
                <w:color w:val="000000"/>
                <w:sz w:val="20"/>
                <w:szCs w:val="20"/>
                <w:lang w:eastAsia="pl-PL"/>
              </w:rPr>
              <w:t>2007-2013</w:t>
            </w:r>
            <w:r w:rsidR="00415BA6">
              <w:rPr>
                <w:rFonts w:ascii="Corbel" w:eastAsia="Times New Roman" w:hAnsi="Corbel" w:cs="Arial"/>
                <w:color w:val="000000"/>
                <w:sz w:val="20"/>
                <w:szCs w:val="20"/>
                <w:lang w:eastAsia="pl-PL"/>
              </w:rPr>
              <w:t>]</w:t>
            </w:r>
          </w:p>
        </w:tc>
        <w:tc>
          <w:tcPr>
            <w:tcW w:w="1058" w:type="pct"/>
            <w:noWrap/>
          </w:tcPr>
          <w:p w:rsidR="00C74AAF" w:rsidRPr="00E6181A" w:rsidRDefault="00C74AAF" w:rsidP="00A56F2A">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3843.3</w:t>
            </w:r>
          </w:p>
        </w:tc>
        <w:tc>
          <w:tcPr>
            <w:tcW w:w="874" w:type="pct"/>
            <w:noWrap/>
          </w:tcPr>
          <w:p w:rsidR="00C74AAF" w:rsidRPr="00E6181A" w:rsidRDefault="00C74AAF" w:rsidP="00A56F2A">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26396.2</w:t>
            </w:r>
          </w:p>
        </w:tc>
        <w:tc>
          <w:tcPr>
            <w:tcW w:w="874" w:type="pct"/>
            <w:tcBorders>
              <w:right w:val="single" w:sz="18" w:space="0" w:color="00B050"/>
            </w:tcBorders>
            <w:noWrap/>
            <w:hideMark/>
          </w:tcPr>
          <w:p w:rsidR="00C74AAF" w:rsidRPr="00E6181A" w:rsidRDefault="00C74AAF" w:rsidP="00A56F2A">
            <w:pPr>
              <w:rPr>
                <w:rFonts w:ascii="Corbel" w:eastAsia="Times New Roman" w:hAnsi="Corbel" w:cs="Arial"/>
                <w:color w:val="000000"/>
                <w:sz w:val="20"/>
                <w:szCs w:val="20"/>
                <w:lang w:eastAsia="pl-PL"/>
              </w:rPr>
            </w:pPr>
            <w:r w:rsidRPr="00E6181A">
              <w:rPr>
                <w:rFonts w:ascii="Corbel" w:eastAsia="Times New Roman" w:hAnsi="Corbel" w:cs="Arial"/>
                <w:color w:val="000000"/>
                <w:sz w:val="20"/>
                <w:szCs w:val="20"/>
                <w:lang w:eastAsia="pl-PL"/>
              </w:rPr>
              <w:t>mln EUR</w:t>
            </w:r>
          </w:p>
        </w:tc>
      </w:tr>
      <w:tr w:rsidR="00C74AAF" w:rsidRPr="00E6181A" w:rsidTr="00C74AAF">
        <w:trPr>
          <w:trHeight w:val="255"/>
        </w:trPr>
        <w:tc>
          <w:tcPr>
            <w:tcW w:w="2194" w:type="pct"/>
            <w:tcBorders>
              <w:left w:val="single" w:sz="18" w:space="0" w:color="00B050"/>
            </w:tcBorders>
            <w:noWrap/>
            <w:hideMark/>
          </w:tcPr>
          <w:p w:rsidR="00C74AAF" w:rsidRPr="00E6181A" w:rsidRDefault="00C74AAF" w:rsidP="00F85BAD">
            <w:pPr>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Ratio</w:t>
            </w:r>
            <w:r w:rsidRPr="00E6181A">
              <w:rPr>
                <w:rFonts w:ascii="Corbel" w:eastAsia="Times New Roman" w:hAnsi="Corbel" w:cs="Arial"/>
                <w:color w:val="000000"/>
                <w:sz w:val="20"/>
                <w:szCs w:val="20"/>
                <w:lang w:eastAsia="pl-PL"/>
              </w:rPr>
              <w:t xml:space="preserve"> [</w:t>
            </w:r>
            <w:r>
              <w:rPr>
                <w:rFonts w:ascii="Corbel" w:eastAsia="Times New Roman" w:hAnsi="Corbel" w:cs="Arial"/>
                <w:color w:val="000000"/>
                <w:sz w:val="20"/>
                <w:szCs w:val="20"/>
                <w:lang w:eastAsia="pl-PL"/>
              </w:rPr>
              <w:t xml:space="preserve">period 2007-2013 to </w:t>
            </w:r>
            <w:r w:rsidRPr="00E6181A">
              <w:rPr>
                <w:rFonts w:ascii="Corbel" w:eastAsia="Times New Roman" w:hAnsi="Corbel" w:cs="Arial"/>
                <w:color w:val="000000"/>
                <w:sz w:val="20"/>
                <w:szCs w:val="20"/>
                <w:lang w:eastAsia="pl-PL"/>
              </w:rPr>
              <w:t>2000-2006]</w:t>
            </w:r>
          </w:p>
        </w:tc>
        <w:tc>
          <w:tcPr>
            <w:tcW w:w="1058" w:type="pct"/>
            <w:noWrap/>
          </w:tcPr>
          <w:p w:rsidR="00C74AAF" w:rsidRPr="00E6181A" w:rsidRDefault="00C74AAF" w:rsidP="00A56F2A">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1.42</w:t>
            </w:r>
          </w:p>
        </w:tc>
        <w:tc>
          <w:tcPr>
            <w:tcW w:w="874" w:type="pct"/>
            <w:noWrap/>
          </w:tcPr>
          <w:p w:rsidR="00C74AAF" w:rsidRPr="00E6181A" w:rsidRDefault="00C74AAF" w:rsidP="00A56F2A">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1.41</w:t>
            </w:r>
          </w:p>
        </w:tc>
        <w:tc>
          <w:tcPr>
            <w:tcW w:w="874" w:type="pct"/>
            <w:tcBorders>
              <w:right w:val="single" w:sz="18" w:space="0" w:color="00B050"/>
            </w:tcBorders>
            <w:noWrap/>
            <w:hideMark/>
          </w:tcPr>
          <w:p w:rsidR="00C74AAF" w:rsidRPr="00E6181A" w:rsidRDefault="00C74AAF" w:rsidP="00A56F2A">
            <w:pPr>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ratio</w:t>
            </w:r>
          </w:p>
        </w:tc>
      </w:tr>
      <w:tr w:rsidR="00BA7E8E" w:rsidRPr="00E6181A" w:rsidTr="00C74AAF">
        <w:trPr>
          <w:trHeight w:val="255"/>
        </w:trPr>
        <w:tc>
          <w:tcPr>
            <w:tcW w:w="5000" w:type="pct"/>
            <w:gridSpan w:val="4"/>
            <w:tcBorders>
              <w:top w:val="single" w:sz="18" w:space="0" w:color="00B050"/>
              <w:left w:val="single" w:sz="18" w:space="0" w:color="00B050"/>
              <w:right w:val="single" w:sz="18" w:space="0" w:color="00B050"/>
            </w:tcBorders>
            <w:shd w:val="clear" w:color="auto" w:fill="EAF1DD" w:themeFill="accent3" w:themeFillTint="33"/>
            <w:noWrap/>
            <w:hideMark/>
          </w:tcPr>
          <w:p w:rsidR="00BA7E8E" w:rsidRPr="00E6181A" w:rsidRDefault="00BA7E8E" w:rsidP="00127195">
            <w:pPr>
              <w:rPr>
                <w:rFonts w:ascii="Corbel" w:eastAsia="Times New Roman" w:hAnsi="Corbel" w:cs="Arial"/>
                <w:b/>
                <w:i/>
                <w:color w:val="000000"/>
                <w:sz w:val="20"/>
                <w:szCs w:val="20"/>
                <w:lang w:eastAsia="pl-PL"/>
              </w:rPr>
            </w:pPr>
            <w:proofErr w:type="spellStart"/>
            <w:r w:rsidRPr="00E6181A">
              <w:rPr>
                <w:rFonts w:ascii="Corbel" w:eastAsia="Times New Roman" w:hAnsi="Corbel" w:cs="Arial"/>
                <w:b/>
                <w:i/>
                <w:color w:val="4F6228" w:themeColor="accent3" w:themeShade="80"/>
                <w:sz w:val="20"/>
                <w:szCs w:val="20"/>
                <w:lang w:eastAsia="pl-PL"/>
              </w:rPr>
              <w:t>Absorption</w:t>
            </w:r>
            <w:proofErr w:type="spellEnd"/>
            <w:r w:rsidRPr="00E6181A">
              <w:rPr>
                <w:rFonts w:ascii="Corbel" w:eastAsia="Times New Roman" w:hAnsi="Corbel" w:cs="Arial"/>
                <w:b/>
                <w:i/>
                <w:color w:val="4F6228" w:themeColor="accent3" w:themeShade="80"/>
                <w:sz w:val="20"/>
                <w:szCs w:val="20"/>
                <w:lang w:eastAsia="pl-PL"/>
              </w:rPr>
              <w:t xml:space="preserve"> </w:t>
            </w:r>
            <w:proofErr w:type="spellStart"/>
            <w:r w:rsidRPr="00E6181A">
              <w:rPr>
                <w:rFonts w:ascii="Corbel" w:eastAsia="Times New Roman" w:hAnsi="Corbel" w:cs="Arial"/>
                <w:b/>
                <w:i/>
                <w:color w:val="4F6228" w:themeColor="accent3" w:themeShade="80"/>
                <w:sz w:val="20"/>
                <w:szCs w:val="20"/>
                <w:lang w:eastAsia="pl-PL"/>
              </w:rPr>
              <w:t>rates</w:t>
            </w:r>
            <w:proofErr w:type="spellEnd"/>
            <w:r w:rsidR="00077807">
              <w:rPr>
                <w:rFonts w:ascii="Corbel" w:eastAsia="Times New Roman" w:hAnsi="Corbel" w:cs="Arial"/>
                <w:b/>
                <w:i/>
                <w:color w:val="4F6228" w:themeColor="accent3" w:themeShade="80"/>
                <w:sz w:val="20"/>
                <w:szCs w:val="20"/>
                <w:lang w:eastAsia="pl-PL"/>
              </w:rPr>
              <w:t xml:space="preserve"> ERDF+CF</w:t>
            </w:r>
          </w:p>
        </w:tc>
      </w:tr>
      <w:tr w:rsidR="00C74AAF" w:rsidRPr="00E6181A" w:rsidTr="00C74AAF">
        <w:trPr>
          <w:trHeight w:val="255"/>
        </w:trPr>
        <w:tc>
          <w:tcPr>
            <w:tcW w:w="2194" w:type="pct"/>
            <w:tcBorders>
              <w:left w:val="single" w:sz="18" w:space="0" w:color="00B050"/>
            </w:tcBorders>
            <w:noWrap/>
            <w:hideMark/>
          </w:tcPr>
          <w:p w:rsidR="00C74AAF" w:rsidRPr="00E6181A" w:rsidRDefault="00C74AAF" w:rsidP="009B0D0C">
            <w:pPr>
              <w:rPr>
                <w:rFonts w:ascii="Corbel" w:eastAsia="Times New Roman" w:hAnsi="Corbel" w:cs="Arial"/>
                <w:color w:val="000000"/>
                <w:sz w:val="20"/>
                <w:szCs w:val="20"/>
                <w:lang w:eastAsia="pl-PL"/>
              </w:rPr>
            </w:pPr>
            <w:proofErr w:type="spellStart"/>
            <w:r w:rsidRPr="00E6181A">
              <w:rPr>
                <w:rFonts w:ascii="Corbel" w:eastAsia="Times New Roman" w:hAnsi="Corbel" w:cs="Arial"/>
                <w:color w:val="000000"/>
                <w:sz w:val="20"/>
                <w:szCs w:val="20"/>
                <w:lang w:eastAsia="pl-PL"/>
              </w:rPr>
              <w:t>Absorption</w:t>
            </w:r>
            <w:proofErr w:type="spellEnd"/>
            <w:r w:rsidRPr="00E6181A">
              <w:rPr>
                <w:rFonts w:ascii="Corbel" w:eastAsia="Times New Roman" w:hAnsi="Corbel" w:cs="Arial"/>
                <w:color w:val="000000"/>
                <w:sz w:val="20"/>
                <w:szCs w:val="20"/>
                <w:lang w:eastAsia="pl-PL"/>
              </w:rPr>
              <w:t xml:space="preserve"> </w:t>
            </w:r>
            <w:proofErr w:type="spellStart"/>
            <w:r w:rsidRPr="00E6181A">
              <w:rPr>
                <w:rFonts w:ascii="Corbel" w:eastAsia="Times New Roman" w:hAnsi="Corbel" w:cs="Arial"/>
                <w:color w:val="000000"/>
                <w:sz w:val="20"/>
                <w:szCs w:val="20"/>
                <w:lang w:eastAsia="pl-PL"/>
              </w:rPr>
              <w:t>rate</w:t>
            </w:r>
            <w:proofErr w:type="spellEnd"/>
            <w:r w:rsidRPr="00E6181A">
              <w:rPr>
                <w:rFonts w:ascii="Corbel" w:eastAsia="Times New Roman" w:hAnsi="Corbel" w:cs="Arial"/>
                <w:color w:val="000000"/>
                <w:sz w:val="20"/>
                <w:szCs w:val="20"/>
                <w:lang w:eastAsia="pl-PL"/>
              </w:rPr>
              <w:t xml:space="preserve"> 2000-2006</w:t>
            </w:r>
            <w:r>
              <w:rPr>
                <w:rFonts w:ascii="Corbel" w:eastAsia="Times New Roman" w:hAnsi="Corbel" w:cs="Arial"/>
                <w:color w:val="000000"/>
                <w:sz w:val="20"/>
                <w:szCs w:val="20"/>
                <w:lang w:eastAsia="pl-PL"/>
              </w:rPr>
              <w:t xml:space="preserve"> [</w:t>
            </w:r>
            <w:proofErr w:type="spellStart"/>
            <w:r>
              <w:rPr>
                <w:rFonts w:ascii="Corbel" w:eastAsia="Times New Roman" w:hAnsi="Corbel" w:cs="Arial"/>
                <w:color w:val="000000"/>
                <w:sz w:val="20"/>
                <w:szCs w:val="20"/>
                <w:lang w:eastAsia="pl-PL"/>
              </w:rPr>
              <w:t>final</w:t>
            </w:r>
            <w:proofErr w:type="spellEnd"/>
            <w:r>
              <w:rPr>
                <w:rFonts w:ascii="Corbel" w:eastAsia="Times New Roman" w:hAnsi="Corbel" w:cs="Arial"/>
                <w:color w:val="000000"/>
                <w:sz w:val="20"/>
                <w:szCs w:val="20"/>
                <w:lang w:eastAsia="pl-PL"/>
              </w:rPr>
              <w:t>]</w:t>
            </w:r>
          </w:p>
        </w:tc>
        <w:tc>
          <w:tcPr>
            <w:tcW w:w="1058" w:type="pct"/>
            <w:noWrap/>
          </w:tcPr>
          <w:p w:rsidR="00C74AAF" w:rsidRPr="00E6181A" w:rsidRDefault="00C74AAF" w:rsidP="00BA7E8E">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96.4</w:t>
            </w:r>
          </w:p>
        </w:tc>
        <w:tc>
          <w:tcPr>
            <w:tcW w:w="874" w:type="pct"/>
            <w:noWrap/>
          </w:tcPr>
          <w:p w:rsidR="00C74AAF" w:rsidRPr="00E6181A" w:rsidRDefault="00C74AAF" w:rsidP="00A56F2A">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96.8</w:t>
            </w:r>
          </w:p>
        </w:tc>
        <w:tc>
          <w:tcPr>
            <w:tcW w:w="874" w:type="pct"/>
            <w:tcBorders>
              <w:right w:val="single" w:sz="18" w:space="0" w:color="00B050"/>
            </w:tcBorders>
            <w:noWrap/>
            <w:hideMark/>
          </w:tcPr>
          <w:p w:rsidR="00C74AAF" w:rsidRPr="00E6181A" w:rsidRDefault="00C74AAF" w:rsidP="00A56F2A">
            <w:pPr>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per cent</w:t>
            </w:r>
          </w:p>
        </w:tc>
      </w:tr>
      <w:tr w:rsidR="00C74AAF" w:rsidRPr="00E6181A" w:rsidTr="00C74AAF">
        <w:trPr>
          <w:trHeight w:val="255"/>
        </w:trPr>
        <w:tc>
          <w:tcPr>
            <w:tcW w:w="2194" w:type="pct"/>
            <w:tcBorders>
              <w:left w:val="single" w:sz="18" w:space="0" w:color="00B050"/>
              <w:bottom w:val="single" w:sz="18" w:space="0" w:color="00B050"/>
            </w:tcBorders>
            <w:noWrap/>
            <w:hideMark/>
          </w:tcPr>
          <w:p w:rsidR="00C74AAF" w:rsidRPr="00E6181A" w:rsidRDefault="00C74AAF" w:rsidP="009B0D0C">
            <w:pPr>
              <w:rPr>
                <w:rFonts w:ascii="Corbel" w:eastAsia="Times New Roman" w:hAnsi="Corbel" w:cs="Arial"/>
                <w:color w:val="000000"/>
                <w:sz w:val="20"/>
                <w:szCs w:val="20"/>
                <w:lang w:eastAsia="pl-PL"/>
              </w:rPr>
            </w:pPr>
            <w:proofErr w:type="spellStart"/>
            <w:r w:rsidRPr="00E6181A">
              <w:rPr>
                <w:rFonts w:ascii="Corbel" w:eastAsia="Times New Roman" w:hAnsi="Corbel" w:cs="Arial"/>
                <w:color w:val="000000"/>
                <w:sz w:val="20"/>
                <w:szCs w:val="20"/>
                <w:lang w:eastAsia="pl-PL"/>
              </w:rPr>
              <w:t>Absorption</w:t>
            </w:r>
            <w:proofErr w:type="spellEnd"/>
            <w:r w:rsidRPr="00E6181A">
              <w:rPr>
                <w:rFonts w:ascii="Corbel" w:eastAsia="Times New Roman" w:hAnsi="Corbel" w:cs="Arial"/>
                <w:color w:val="000000"/>
                <w:sz w:val="20"/>
                <w:szCs w:val="20"/>
                <w:lang w:eastAsia="pl-PL"/>
              </w:rPr>
              <w:t xml:space="preserve"> </w:t>
            </w:r>
            <w:proofErr w:type="spellStart"/>
            <w:r w:rsidRPr="00E6181A">
              <w:rPr>
                <w:rFonts w:ascii="Corbel" w:eastAsia="Times New Roman" w:hAnsi="Corbel" w:cs="Arial"/>
                <w:color w:val="000000"/>
                <w:sz w:val="20"/>
                <w:szCs w:val="20"/>
                <w:lang w:eastAsia="pl-PL"/>
              </w:rPr>
              <w:t>rate</w:t>
            </w:r>
            <w:proofErr w:type="spellEnd"/>
            <w:r w:rsidRPr="00E6181A">
              <w:rPr>
                <w:rFonts w:ascii="Corbel" w:eastAsia="Times New Roman" w:hAnsi="Corbel" w:cs="Arial"/>
                <w:color w:val="000000"/>
                <w:sz w:val="20"/>
                <w:szCs w:val="20"/>
                <w:lang w:eastAsia="pl-PL"/>
              </w:rPr>
              <w:t xml:space="preserve"> 2007-2013 [</w:t>
            </w:r>
            <w:r>
              <w:rPr>
                <w:rFonts w:ascii="Corbel" w:eastAsia="Times New Roman" w:hAnsi="Corbel" w:cs="Arial"/>
                <w:color w:val="000000"/>
                <w:sz w:val="20"/>
                <w:szCs w:val="20"/>
                <w:lang w:eastAsia="pl-PL"/>
              </w:rPr>
              <w:t xml:space="preserve">in </w:t>
            </w:r>
            <w:r w:rsidRPr="00E6181A">
              <w:rPr>
                <w:rFonts w:ascii="Corbel" w:eastAsia="Times New Roman" w:hAnsi="Corbel" w:cs="Arial"/>
                <w:color w:val="000000"/>
                <w:sz w:val="20"/>
                <w:szCs w:val="20"/>
                <w:lang w:eastAsia="pl-PL"/>
              </w:rPr>
              <w:t>2014]</w:t>
            </w:r>
          </w:p>
        </w:tc>
        <w:tc>
          <w:tcPr>
            <w:tcW w:w="1058" w:type="pct"/>
            <w:tcBorders>
              <w:bottom w:val="single" w:sz="18" w:space="0" w:color="00B050"/>
            </w:tcBorders>
            <w:noWrap/>
          </w:tcPr>
          <w:p w:rsidR="00C74AAF" w:rsidRPr="00E6181A" w:rsidRDefault="00C74AAF" w:rsidP="00A56F2A">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52.8</w:t>
            </w:r>
          </w:p>
        </w:tc>
        <w:tc>
          <w:tcPr>
            <w:tcW w:w="874" w:type="pct"/>
            <w:tcBorders>
              <w:bottom w:val="single" w:sz="18" w:space="0" w:color="00B050"/>
            </w:tcBorders>
            <w:noWrap/>
          </w:tcPr>
          <w:p w:rsidR="00C74AAF" w:rsidRPr="00E6181A" w:rsidRDefault="00C74AAF" w:rsidP="00A56F2A">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52.4</w:t>
            </w:r>
          </w:p>
        </w:tc>
        <w:tc>
          <w:tcPr>
            <w:tcW w:w="874" w:type="pct"/>
            <w:tcBorders>
              <w:bottom w:val="single" w:sz="18" w:space="0" w:color="00B050"/>
              <w:right w:val="single" w:sz="18" w:space="0" w:color="00B050"/>
            </w:tcBorders>
            <w:noWrap/>
            <w:hideMark/>
          </w:tcPr>
          <w:p w:rsidR="00C74AAF" w:rsidRPr="00E6181A" w:rsidRDefault="00C74AAF" w:rsidP="00A56F2A">
            <w:pPr>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per cent</w:t>
            </w:r>
          </w:p>
        </w:tc>
      </w:tr>
    </w:tbl>
    <w:p w:rsidR="00415BA6" w:rsidRDefault="00415BA6" w:rsidP="003C750D">
      <w:pPr>
        <w:contextualSpacing/>
        <w:jc w:val="both"/>
        <w:rPr>
          <w:rFonts w:ascii="Corbel" w:eastAsia="MS Mincho" w:hAnsi="Corbel" w:cs="Times New Roman"/>
          <w:color w:val="404040"/>
          <w:sz w:val="24"/>
          <w:szCs w:val="24"/>
          <w:lang w:val="en-GB" w:eastAsia="ja-JP"/>
        </w:rPr>
      </w:pPr>
    </w:p>
    <w:p w:rsidR="00DE4BCB" w:rsidRDefault="00A30DA6" w:rsidP="003C750D">
      <w:pPr>
        <w:contextualSpacing/>
        <w:jc w:val="both"/>
        <w:rPr>
          <w:rFonts w:ascii="Corbel" w:eastAsia="MS Mincho" w:hAnsi="Corbel" w:cs="Times New Roman"/>
          <w:color w:val="404040"/>
          <w:sz w:val="24"/>
          <w:szCs w:val="24"/>
          <w:lang w:val="en-GB" w:eastAsia="ja-JP"/>
        </w:rPr>
      </w:pPr>
      <w:bookmarkStart w:id="0" w:name="_GoBack"/>
      <w:bookmarkEnd w:id="0"/>
      <w:r>
        <w:rPr>
          <w:rFonts w:ascii="Corbel" w:eastAsia="MS Mincho" w:hAnsi="Corbel" w:cs="Times New Roman"/>
          <w:color w:val="404040"/>
          <w:sz w:val="24"/>
          <w:szCs w:val="24"/>
          <w:lang w:val="en-GB" w:eastAsia="ja-JP"/>
        </w:rPr>
        <w:t xml:space="preserve">The region of </w:t>
      </w:r>
      <w:r w:rsidR="00C74AAF">
        <w:rPr>
          <w:rFonts w:ascii="Corbel" w:eastAsia="MS Mincho" w:hAnsi="Corbel" w:cs="Times New Roman"/>
          <w:color w:val="404040"/>
          <w:sz w:val="24"/>
          <w:szCs w:val="24"/>
          <w:lang w:val="en-GB" w:eastAsia="ja-JP"/>
        </w:rPr>
        <w:t>Central Macedonia</w:t>
      </w:r>
      <w:r>
        <w:rPr>
          <w:rFonts w:ascii="Corbel" w:eastAsia="MS Mincho" w:hAnsi="Corbel" w:cs="Times New Roman"/>
          <w:color w:val="404040"/>
          <w:sz w:val="24"/>
          <w:szCs w:val="24"/>
          <w:lang w:val="en-GB" w:eastAsia="ja-JP"/>
        </w:rPr>
        <w:t xml:space="preserve"> </w:t>
      </w:r>
      <w:r w:rsidR="00C74AAF">
        <w:rPr>
          <w:rFonts w:ascii="Corbel" w:eastAsia="MS Mincho" w:hAnsi="Corbel" w:cs="Times New Roman"/>
          <w:color w:val="404040"/>
          <w:sz w:val="24"/>
          <w:szCs w:val="24"/>
          <w:lang w:val="en-GB" w:eastAsia="ja-JP"/>
        </w:rPr>
        <w:t>has received a</w:t>
      </w:r>
      <w:r>
        <w:rPr>
          <w:rFonts w:ascii="Corbel" w:eastAsia="MS Mincho" w:hAnsi="Corbel" w:cs="Times New Roman"/>
          <w:color w:val="404040"/>
          <w:sz w:val="24"/>
          <w:szCs w:val="24"/>
          <w:lang w:val="en-GB" w:eastAsia="ja-JP"/>
        </w:rPr>
        <w:t xml:space="preserve"> </w:t>
      </w:r>
      <w:r w:rsidR="00C74AAF">
        <w:rPr>
          <w:rFonts w:ascii="Corbel" w:eastAsia="MS Mincho" w:hAnsi="Corbel" w:cs="Times New Roman"/>
          <w:color w:val="404040"/>
          <w:sz w:val="24"/>
          <w:szCs w:val="24"/>
          <w:lang w:val="en-GB" w:eastAsia="ja-JP"/>
        </w:rPr>
        <w:t>smaller</w:t>
      </w:r>
      <w:r w:rsidR="00787922">
        <w:rPr>
          <w:rFonts w:ascii="Corbel" w:eastAsia="MS Mincho" w:hAnsi="Corbel" w:cs="Times New Roman"/>
          <w:color w:val="404040"/>
          <w:sz w:val="24"/>
          <w:szCs w:val="24"/>
          <w:lang w:val="en-GB" w:eastAsia="ja-JP"/>
        </w:rPr>
        <w:t xml:space="preserve"> </w:t>
      </w:r>
      <w:r>
        <w:rPr>
          <w:rFonts w:ascii="Corbel" w:eastAsia="MS Mincho" w:hAnsi="Corbel" w:cs="Times New Roman"/>
          <w:color w:val="404040"/>
          <w:sz w:val="24"/>
          <w:szCs w:val="24"/>
          <w:lang w:val="en-GB" w:eastAsia="ja-JP"/>
        </w:rPr>
        <w:t xml:space="preserve">amount of Structural Funds in per capita terms, </w:t>
      </w:r>
      <w:r w:rsidR="00C74AAF">
        <w:rPr>
          <w:rFonts w:ascii="Corbel" w:eastAsia="MS Mincho" w:hAnsi="Corbel" w:cs="Times New Roman"/>
          <w:color w:val="404040"/>
          <w:sz w:val="24"/>
          <w:szCs w:val="24"/>
          <w:lang w:val="en-GB" w:eastAsia="ja-JP"/>
        </w:rPr>
        <w:t xml:space="preserve">than the national average  - </w:t>
      </w:r>
      <w:r>
        <w:rPr>
          <w:rFonts w:ascii="Corbel" w:eastAsia="MS Mincho" w:hAnsi="Corbel" w:cs="Times New Roman"/>
          <w:color w:val="404040"/>
          <w:sz w:val="24"/>
          <w:szCs w:val="24"/>
          <w:lang w:val="en-GB" w:eastAsia="ja-JP"/>
        </w:rPr>
        <w:t>2.02</w:t>
      </w:r>
      <w:r w:rsidR="00C74AAF">
        <w:rPr>
          <w:rFonts w:ascii="Corbel" w:eastAsia="MS Mincho" w:hAnsi="Corbel" w:cs="Times New Roman"/>
          <w:color w:val="404040"/>
          <w:sz w:val="24"/>
          <w:szCs w:val="24"/>
          <w:lang w:val="en-GB" w:eastAsia="ja-JP"/>
        </w:rPr>
        <w:t xml:space="preserve"> </w:t>
      </w:r>
      <w:proofErr w:type="spellStart"/>
      <w:r w:rsidR="00C74AAF">
        <w:rPr>
          <w:rFonts w:ascii="Corbel" w:eastAsia="MS Mincho" w:hAnsi="Corbel" w:cs="Times New Roman"/>
          <w:color w:val="404040"/>
          <w:sz w:val="24"/>
          <w:szCs w:val="24"/>
          <w:lang w:val="en-GB" w:eastAsia="ja-JP"/>
        </w:rPr>
        <w:t>thous</w:t>
      </w:r>
      <w:proofErr w:type="spellEnd"/>
      <w:r w:rsidR="00C74AAF">
        <w:rPr>
          <w:rFonts w:ascii="Corbel" w:eastAsia="MS Mincho" w:hAnsi="Corbel" w:cs="Times New Roman"/>
          <w:color w:val="404040"/>
          <w:sz w:val="24"/>
          <w:szCs w:val="24"/>
          <w:lang w:val="en-GB" w:eastAsia="ja-JP"/>
        </w:rPr>
        <w:t>. EUR</w:t>
      </w:r>
      <w:r>
        <w:rPr>
          <w:rFonts w:ascii="Corbel" w:eastAsia="MS Mincho" w:hAnsi="Corbel" w:cs="Times New Roman"/>
          <w:color w:val="404040"/>
          <w:sz w:val="24"/>
          <w:szCs w:val="24"/>
          <w:lang w:val="en-GB" w:eastAsia="ja-JP"/>
        </w:rPr>
        <w:t xml:space="preserve"> in Central Macedonia, and 2.42 on average in Greece in the programming period</w:t>
      </w:r>
      <w:r w:rsidR="00D05A3A">
        <w:rPr>
          <w:rFonts w:ascii="Corbel" w:eastAsia="MS Mincho" w:hAnsi="Corbel" w:cs="Times New Roman"/>
          <w:color w:val="404040"/>
          <w:sz w:val="24"/>
          <w:szCs w:val="24"/>
          <w:lang w:val="en-GB" w:eastAsia="ja-JP"/>
        </w:rPr>
        <w:t xml:space="preserve"> 2007-2013</w:t>
      </w:r>
      <w:r>
        <w:rPr>
          <w:rFonts w:ascii="Corbel" w:eastAsia="MS Mincho" w:hAnsi="Corbel" w:cs="Times New Roman"/>
          <w:color w:val="404040"/>
          <w:sz w:val="24"/>
          <w:szCs w:val="24"/>
          <w:lang w:val="en-GB" w:eastAsia="ja-JP"/>
        </w:rPr>
        <w:t xml:space="preserve">. This discrepancy had been </w:t>
      </w:r>
      <w:r w:rsidR="00C74AAF">
        <w:rPr>
          <w:rFonts w:ascii="Corbel" w:eastAsia="MS Mincho" w:hAnsi="Corbel" w:cs="Times New Roman"/>
          <w:color w:val="404040"/>
          <w:sz w:val="24"/>
          <w:szCs w:val="24"/>
          <w:lang w:val="en-GB" w:eastAsia="ja-JP"/>
        </w:rPr>
        <w:t>stable over time, as both</w:t>
      </w:r>
      <w:r w:rsidR="00D05A3A">
        <w:rPr>
          <w:rFonts w:ascii="Corbel" w:eastAsia="MS Mincho" w:hAnsi="Corbel" w:cs="Times New Roman"/>
          <w:color w:val="404040"/>
          <w:sz w:val="24"/>
          <w:szCs w:val="24"/>
          <w:lang w:val="en-GB" w:eastAsia="ja-JP"/>
        </w:rPr>
        <w:t xml:space="preserve"> the total allocations for Central Macedonia </w:t>
      </w:r>
      <w:r w:rsidR="00C74AAF">
        <w:rPr>
          <w:rFonts w:ascii="Corbel" w:eastAsia="MS Mincho" w:hAnsi="Corbel" w:cs="Times New Roman"/>
          <w:color w:val="404040"/>
          <w:sz w:val="24"/>
          <w:szCs w:val="24"/>
          <w:lang w:val="en-GB" w:eastAsia="ja-JP"/>
        </w:rPr>
        <w:t xml:space="preserve">and Greece grew by approx. 40% between the last two completed programming periods. </w:t>
      </w:r>
      <w:r w:rsidR="00D05A3A">
        <w:rPr>
          <w:rFonts w:ascii="Corbel" w:eastAsia="MS Mincho" w:hAnsi="Corbel" w:cs="Times New Roman"/>
          <w:color w:val="404040"/>
          <w:sz w:val="24"/>
          <w:szCs w:val="24"/>
          <w:lang w:val="en-GB" w:eastAsia="ja-JP"/>
        </w:rPr>
        <w:t xml:space="preserve">The rate of absorption </w:t>
      </w:r>
      <w:r w:rsidR="00C74AAF">
        <w:rPr>
          <w:rFonts w:ascii="Corbel" w:eastAsia="MS Mincho" w:hAnsi="Corbel" w:cs="Times New Roman"/>
          <w:color w:val="404040"/>
          <w:sz w:val="24"/>
          <w:szCs w:val="24"/>
          <w:lang w:val="en-GB" w:eastAsia="ja-JP"/>
        </w:rPr>
        <w:t xml:space="preserve">for the 2007-2013 period is low, and very much alike in Central Macedonia and in Greece as a whole. </w:t>
      </w:r>
    </w:p>
    <w:p w:rsidR="00221148" w:rsidRPr="009B0D0C" w:rsidRDefault="00221148" w:rsidP="003C750D">
      <w:pPr>
        <w:contextualSpacing/>
        <w:jc w:val="both"/>
        <w:rPr>
          <w:rFonts w:ascii="Corbel" w:eastAsia="MS Mincho" w:hAnsi="Corbel" w:cs="Times New Roman"/>
          <w:color w:val="404040"/>
          <w:sz w:val="24"/>
          <w:szCs w:val="24"/>
          <w:lang w:val="en-GB" w:eastAsia="ja-JP"/>
        </w:rPr>
      </w:pPr>
    </w:p>
    <w:tbl>
      <w:tblPr>
        <w:tblStyle w:val="Tabela-Siatka"/>
        <w:tblW w:w="5000" w:type="pct"/>
        <w:tblLayout w:type="fixed"/>
        <w:tblCellMar>
          <w:top w:w="28" w:type="dxa"/>
          <w:left w:w="85" w:type="dxa"/>
          <w:bottom w:w="28" w:type="dxa"/>
          <w:right w:w="85" w:type="dxa"/>
        </w:tblCellMar>
        <w:tblLook w:val="04A0" w:firstRow="1" w:lastRow="0" w:firstColumn="1" w:lastColumn="0" w:noHBand="0" w:noVBand="1"/>
      </w:tblPr>
      <w:tblGrid>
        <w:gridCol w:w="7031"/>
        <w:gridCol w:w="1844"/>
        <w:gridCol w:w="1041"/>
      </w:tblGrid>
      <w:tr w:rsidR="00C74AAF" w:rsidRPr="00E6181A" w:rsidTr="00C74AAF">
        <w:trPr>
          <w:trHeight w:val="255"/>
        </w:trPr>
        <w:tc>
          <w:tcPr>
            <w:tcW w:w="3545" w:type="pct"/>
            <w:tcBorders>
              <w:top w:val="single" w:sz="18" w:space="0" w:color="FFC000"/>
              <w:left w:val="single" w:sz="18" w:space="0" w:color="FFC000"/>
              <w:bottom w:val="single" w:sz="18" w:space="0" w:color="FFC000"/>
            </w:tcBorders>
            <w:shd w:val="clear" w:color="auto" w:fill="FFCC00"/>
            <w:noWrap/>
            <w:hideMark/>
          </w:tcPr>
          <w:p w:rsidR="00C74AAF" w:rsidRPr="009B0D0C" w:rsidRDefault="00C74AAF" w:rsidP="009B0D0C">
            <w:pPr>
              <w:rPr>
                <w:rFonts w:ascii="Corbel" w:eastAsia="Times New Roman" w:hAnsi="Corbel" w:cs="Arial"/>
                <w:color w:val="000000"/>
                <w:sz w:val="20"/>
                <w:szCs w:val="20"/>
                <w:lang w:val="en-US" w:eastAsia="pl-PL"/>
              </w:rPr>
            </w:pPr>
            <w:r w:rsidRPr="009B0D0C">
              <w:rPr>
                <w:rFonts w:ascii="Corbel" w:eastAsia="Times New Roman" w:hAnsi="Corbel" w:cs="Arial"/>
                <w:b/>
                <w:bCs/>
                <w:color w:val="000000"/>
                <w:sz w:val="20"/>
                <w:szCs w:val="20"/>
                <w:lang w:val="en-US" w:eastAsia="pl-PL"/>
              </w:rPr>
              <w:t>Thematic structure</w:t>
            </w:r>
            <w:r w:rsidRPr="009B0D0C">
              <w:rPr>
                <w:rFonts w:ascii="Corbel" w:eastAsia="Times New Roman" w:hAnsi="Corbel" w:cs="Arial"/>
                <w:color w:val="000000"/>
                <w:sz w:val="20"/>
                <w:szCs w:val="20"/>
                <w:lang w:val="en-US" w:eastAsia="pl-PL"/>
              </w:rPr>
              <w:t xml:space="preserve"> [NUTS-2, 2007-13, ERDF+CF]</w:t>
            </w:r>
          </w:p>
        </w:tc>
        <w:tc>
          <w:tcPr>
            <w:tcW w:w="930" w:type="pct"/>
            <w:tcBorders>
              <w:top w:val="single" w:sz="18" w:space="0" w:color="FFC000"/>
              <w:bottom w:val="single" w:sz="18" w:space="0" w:color="FFC000"/>
            </w:tcBorders>
            <w:shd w:val="clear" w:color="auto" w:fill="FFCC00"/>
            <w:noWrap/>
            <w:hideMark/>
          </w:tcPr>
          <w:p w:rsidR="00C74AAF" w:rsidRPr="00E6181A" w:rsidRDefault="00C74AAF" w:rsidP="00784474">
            <w:pPr>
              <w:jc w:val="center"/>
              <w:rPr>
                <w:rFonts w:ascii="Corbel" w:eastAsia="Times New Roman" w:hAnsi="Corbel" w:cs="Arial"/>
                <w:b/>
                <w:color w:val="000000"/>
                <w:sz w:val="20"/>
                <w:szCs w:val="20"/>
                <w:lang w:val="en-US" w:eastAsia="pl-PL"/>
              </w:rPr>
            </w:pPr>
            <w:r>
              <w:rPr>
                <w:rFonts w:ascii="Corbel" w:eastAsia="Times New Roman" w:hAnsi="Corbel" w:cs="Arial"/>
                <w:b/>
                <w:color w:val="000000"/>
                <w:sz w:val="20"/>
                <w:szCs w:val="20"/>
                <w:lang w:val="en-US" w:eastAsia="pl-PL"/>
              </w:rPr>
              <w:t>Central Macedonia</w:t>
            </w:r>
          </w:p>
        </w:tc>
        <w:tc>
          <w:tcPr>
            <w:tcW w:w="525" w:type="pct"/>
            <w:tcBorders>
              <w:top w:val="single" w:sz="18" w:space="0" w:color="FFC000"/>
              <w:bottom w:val="single" w:sz="18" w:space="0" w:color="FFC000"/>
              <w:right w:val="single" w:sz="18" w:space="0" w:color="FFC000"/>
            </w:tcBorders>
            <w:shd w:val="clear" w:color="auto" w:fill="FFCC00"/>
            <w:noWrap/>
            <w:hideMark/>
          </w:tcPr>
          <w:p w:rsidR="00C74AAF" w:rsidRPr="00E6181A" w:rsidRDefault="00C74AAF" w:rsidP="00784474">
            <w:pPr>
              <w:jc w:val="center"/>
              <w:rPr>
                <w:rFonts w:ascii="Corbel" w:eastAsia="Times New Roman" w:hAnsi="Corbel" w:cs="Arial"/>
                <w:b/>
                <w:color w:val="000000"/>
                <w:sz w:val="20"/>
                <w:szCs w:val="20"/>
                <w:lang w:val="en-US" w:eastAsia="pl-PL"/>
              </w:rPr>
            </w:pPr>
            <w:r>
              <w:rPr>
                <w:rFonts w:ascii="Corbel" w:eastAsia="Times New Roman" w:hAnsi="Corbel" w:cs="Arial"/>
                <w:b/>
                <w:color w:val="000000"/>
                <w:sz w:val="20"/>
                <w:szCs w:val="20"/>
                <w:lang w:val="en-US" w:eastAsia="pl-PL"/>
              </w:rPr>
              <w:t>Greece</w:t>
            </w:r>
          </w:p>
        </w:tc>
      </w:tr>
      <w:tr w:rsidR="0003713C" w:rsidRPr="00E6181A" w:rsidTr="00C74AAF">
        <w:trPr>
          <w:trHeight w:val="255"/>
        </w:trPr>
        <w:tc>
          <w:tcPr>
            <w:tcW w:w="5000" w:type="pct"/>
            <w:gridSpan w:val="3"/>
            <w:tcBorders>
              <w:top w:val="single" w:sz="18" w:space="0" w:color="FFC000"/>
              <w:left w:val="single" w:sz="18" w:space="0" w:color="FFC000"/>
              <w:right w:val="single" w:sz="18" w:space="0" w:color="FFC000"/>
            </w:tcBorders>
            <w:shd w:val="clear" w:color="auto" w:fill="FDE9D9" w:themeFill="accent6" w:themeFillTint="33"/>
            <w:noWrap/>
            <w:hideMark/>
          </w:tcPr>
          <w:p w:rsidR="0003713C" w:rsidRPr="00E6181A" w:rsidRDefault="0003713C" w:rsidP="004835EF">
            <w:pPr>
              <w:rPr>
                <w:rFonts w:ascii="Corbel" w:eastAsia="Times New Roman" w:hAnsi="Corbel" w:cs="Arial"/>
                <w:color w:val="000000"/>
                <w:sz w:val="20"/>
                <w:szCs w:val="20"/>
                <w:lang w:eastAsia="pl-PL"/>
              </w:rPr>
            </w:pPr>
            <w:r w:rsidRPr="00E6181A">
              <w:rPr>
                <w:rFonts w:ascii="Corbel" w:eastAsia="Times New Roman" w:hAnsi="Corbel" w:cs="Arial"/>
                <w:b/>
                <w:i/>
                <w:iCs/>
                <w:color w:val="E36C0A" w:themeColor="accent6" w:themeShade="BF"/>
                <w:sz w:val="20"/>
                <w:szCs w:val="20"/>
                <w:lang w:eastAsia="pl-PL"/>
              </w:rPr>
              <w:t xml:space="preserve">% of </w:t>
            </w:r>
            <w:proofErr w:type="spellStart"/>
            <w:r w:rsidRPr="00E6181A">
              <w:rPr>
                <w:rFonts w:ascii="Corbel" w:eastAsia="Times New Roman" w:hAnsi="Corbel" w:cs="Arial"/>
                <w:b/>
                <w:i/>
                <w:iCs/>
                <w:color w:val="E36C0A" w:themeColor="accent6" w:themeShade="BF"/>
                <w:sz w:val="20"/>
                <w:szCs w:val="20"/>
                <w:lang w:eastAsia="pl-PL"/>
              </w:rPr>
              <w:t>allocation</w:t>
            </w:r>
            <w:proofErr w:type="spellEnd"/>
          </w:p>
        </w:tc>
      </w:tr>
      <w:tr w:rsidR="00C74AAF" w:rsidRPr="00E6181A" w:rsidTr="00C74AAF">
        <w:trPr>
          <w:trHeight w:val="255"/>
        </w:trPr>
        <w:tc>
          <w:tcPr>
            <w:tcW w:w="3545" w:type="pct"/>
            <w:tcBorders>
              <w:left w:val="single" w:sz="18" w:space="0" w:color="FFC000"/>
            </w:tcBorders>
            <w:noWrap/>
            <w:hideMark/>
          </w:tcPr>
          <w:p w:rsidR="00C74AAF" w:rsidRPr="00E6181A" w:rsidRDefault="00C74AAF" w:rsidP="004835EF">
            <w:pPr>
              <w:rPr>
                <w:rFonts w:ascii="Corbel" w:eastAsia="Times New Roman" w:hAnsi="Corbel" w:cs="Arial"/>
                <w:color w:val="000000"/>
                <w:sz w:val="20"/>
                <w:szCs w:val="20"/>
                <w:lang w:val="en-US" w:eastAsia="pl-PL"/>
              </w:rPr>
            </w:pPr>
            <w:r w:rsidRPr="00E6181A">
              <w:rPr>
                <w:rFonts w:ascii="Corbel" w:eastAsia="Times New Roman" w:hAnsi="Corbel" w:cs="Arial"/>
                <w:color w:val="000000"/>
                <w:sz w:val="20"/>
                <w:szCs w:val="20"/>
                <w:lang w:val="en-US" w:eastAsia="pl-PL"/>
              </w:rPr>
              <w:t>Category A</w:t>
            </w:r>
            <w:r>
              <w:rPr>
                <w:rFonts w:ascii="Corbel" w:eastAsia="Times New Roman" w:hAnsi="Corbel" w:cs="Arial"/>
                <w:color w:val="000000"/>
                <w:sz w:val="20"/>
                <w:szCs w:val="20"/>
                <w:lang w:val="en-US" w:eastAsia="pl-PL"/>
              </w:rPr>
              <w:t xml:space="preserve"> “Innovative </w:t>
            </w:r>
            <w:proofErr w:type="spellStart"/>
            <w:r>
              <w:rPr>
                <w:rFonts w:ascii="Corbel" w:eastAsia="Times New Roman" w:hAnsi="Corbel" w:cs="Arial"/>
                <w:color w:val="000000"/>
                <w:sz w:val="20"/>
                <w:szCs w:val="20"/>
                <w:lang w:val="en-US" w:eastAsia="pl-PL"/>
              </w:rPr>
              <w:t>enivironment</w:t>
            </w:r>
            <w:proofErr w:type="spellEnd"/>
            <w:r>
              <w:rPr>
                <w:rFonts w:ascii="Corbel" w:eastAsia="Times New Roman" w:hAnsi="Corbel" w:cs="Arial"/>
                <w:color w:val="000000"/>
                <w:sz w:val="20"/>
                <w:szCs w:val="20"/>
                <w:lang w:val="en-US" w:eastAsia="pl-PL"/>
              </w:rPr>
              <w:t>”</w:t>
            </w:r>
            <w:r w:rsidRPr="00E6181A">
              <w:rPr>
                <w:rFonts w:ascii="Corbel" w:eastAsia="Times New Roman" w:hAnsi="Corbel" w:cs="Arial"/>
                <w:color w:val="000000"/>
                <w:sz w:val="20"/>
                <w:szCs w:val="20"/>
                <w:lang w:val="en-US" w:eastAsia="pl-PL"/>
              </w:rPr>
              <w:t>: business support, human resources, IT infrastructure and services, research and technology</w:t>
            </w:r>
          </w:p>
        </w:tc>
        <w:tc>
          <w:tcPr>
            <w:tcW w:w="930" w:type="pct"/>
            <w:noWrap/>
          </w:tcPr>
          <w:p w:rsidR="00C74AAF" w:rsidRPr="00E6181A" w:rsidRDefault="00C74AAF" w:rsidP="009B0D0C">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28.2%</w:t>
            </w:r>
          </w:p>
        </w:tc>
        <w:tc>
          <w:tcPr>
            <w:tcW w:w="525" w:type="pct"/>
            <w:tcBorders>
              <w:right w:val="single" w:sz="18" w:space="0" w:color="FFC000"/>
            </w:tcBorders>
            <w:noWrap/>
          </w:tcPr>
          <w:p w:rsidR="00C74AAF" w:rsidRPr="00E6181A" w:rsidRDefault="00C74AAF" w:rsidP="009B0D0C">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26.1%</w:t>
            </w:r>
          </w:p>
        </w:tc>
      </w:tr>
      <w:tr w:rsidR="00C74AAF" w:rsidRPr="00E6181A" w:rsidTr="00C74AAF">
        <w:trPr>
          <w:trHeight w:val="255"/>
        </w:trPr>
        <w:tc>
          <w:tcPr>
            <w:tcW w:w="3545" w:type="pct"/>
            <w:tcBorders>
              <w:left w:val="single" w:sz="18" w:space="0" w:color="FFC000"/>
            </w:tcBorders>
            <w:noWrap/>
            <w:hideMark/>
          </w:tcPr>
          <w:p w:rsidR="00C74AAF" w:rsidRPr="00E6181A" w:rsidRDefault="00C74AAF" w:rsidP="004835EF">
            <w:pPr>
              <w:rPr>
                <w:rFonts w:ascii="Corbel" w:eastAsia="Times New Roman" w:hAnsi="Corbel" w:cs="Arial"/>
                <w:color w:val="000000"/>
                <w:sz w:val="20"/>
                <w:szCs w:val="20"/>
                <w:lang w:val="en-US" w:eastAsia="pl-PL"/>
              </w:rPr>
            </w:pPr>
            <w:r w:rsidRPr="00E6181A">
              <w:rPr>
                <w:rFonts w:ascii="Corbel" w:eastAsia="Times New Roman" w:hAnsi="Corbel" w:cs="Arial"/>
                <w:color w:val="000000"/>
                <w:sz w:val="20"/>
                <w:szCs w:val="20"/>
                <w:lang w:val="en-US" w:eastAsia="pl-PL"/>
              </w:rPr>
              <w:t>Category B</w:t>
            </w:r>
            <w:r>
              <w:rPr>
                <w:rFonts w:ascii="Corbel" w:eastAsia="Times New Roman" w:hAnsi="Corbel" w:cs="Arial"/>
                <w:color w:val="000000"/>
                <w:sz w:val="20"/>
                <w:szCs w:val="20"/>
                <w:lang w:val="en-US" w:eastAsia="pl-PL"/>
              </w:rPr>
              <w:t xml:space="preserve"> ”Basic infrastructure”</w:t>
            </w:r>
            <w:r w:rsidRPr="00E6181A">
              <w:rPr>
                <w:rFonts w:ascii="Corbel" w:eastAsia="Times New Roman" w:hAnsi="Corbel" w:cs="Arial"/>
                <w:color w:val="000000"/>
                <w:sz w:val="20"/>
                <w:szCs w:val="20"/>
                <w:lang w:val="en-US" w:eastAsia="pl-PL"/>
              </w:rPr>
              <w:t>: energy, environment and natural resources, transport infrastructure</w:t>
            </w:r>
          </w:p>
        </w:tc>
        <w:tc>
          <w:tcPr>
            <w:tcW w:w="930" w:type="pct"/>
            <w:noWrap/>
          </w:tcPr>
          <w:p w:rsidR="00C74AAF" w:rsidRPr="00E6181A" w:rsidRDefault="00C74AAF" w:rsidP="009B0D0C">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53.9%</w:t>
            </w:r>
          </w:p>
        </w:tc>
        <w:tc>
          <w:tcPr>
            <w:tcW w:w="525" w:type="pct"/>
            <w:tcBorders>
              <w:right w:val="single" w:sz="18" w:space="0" w:color="FFC000"/>
            </w:tcBorders>
            <w:noWrap/>
          </w:tcPr>
          <w:p w:rsidR="00C74AAF" w:rsidRPr="00E6181A" w:rsidRDefault="00C74AAF" w:rsidP="009B0D0C">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57.0%</w:t>
            </w:r>
          </w:p>
        </w:tc>
      </w:tr>
      <w:tr w:rsidR="00C74AAF" w:rsidRPr="00E6181A" w:rsidTr="00C74AAF">
        <w:trPr>
          <w:trHeight w:val="255"/>
        </w:trPr>
        <w:tc>
          <w:tcPr>
            <w:tcW w:w="3545" w:type="pct"/>
            <w:tcBorders>
              <w:left w:val="single" w:sz="18" w:space="0" w:color="FFC000"/>
            </w:tcBorders>
            <w:noWrap/>
            <w:hideMark/>
          </w:tcPr>
          <w:p w:rsidR="00C74AAF" w:rsidRPr="00E6181A" w:rsidRDefault="00C74AAF" w:rsidP="004835EF">
            <w:pPr>
              <w:rPr>
                <w:rFonts w:ascii="Corbel" w:eastAsia="Times New Roman" w:hAnsi="Corbel" w:cs="Arial"/>
                <w:color w:val="000000"/>
                <w:sz w:val="20"/>
                <w:szCs w:val="20"/>
                <w:lang w:val="en-US" w:eastAsia="pl-PL"/>
              </w:rPr>
            </w:pPr>
            <w:r w:rsidRPr="00E6181A">
              <w:rPr>
                <w:rFonts w:ascii="Corbel" w:eastAsia="Times New Roman" w:hAnsi="Corbel" w:cs="Arial"/>
                <w:color w:val="000000"/>
                <w:sz w:val="20"/>
                <w:szCs w:val="20"/>
                <w:lang w:val="en-US" w:eastAsia="pl-PL"/>
              </w:rPr>
              <w:t>Category C</w:t>
            </w:r>
            <w:r>
              <w:rPr>
                <w:rFonts w:ascii="Corbel" w:eastAsia="Times New Roman" w:hAnsi="Corbel" w:cs="Arial"/>
                <w:color w:val="000000"/>
                <w:sz w:val="20"/>
                <w:szCs w:val="20"/>
                <w:lang w:val="en-US" w:eastAsia="pl-PL"/>
              </w:rPr>
              <w:t xml:space="preserve"> “Quality of life”</w:t>
            </w:r>
            <w:r w:rsidRPr="00E6181A">
              <w:rPr>
                <w:rFonts w:ascii="Corbel" w:eastAsia="Times New Roman" w:hAnsi="Corbel" w:cs="Arial"/>
                <w:color w:val="000000"/>
                <w:sz w:val="20"/>
                <w:szCs w:val="20"/>
                <w:lang w:val="en-US" w:eastAsia="pl-PL"/>
              </w:rPr>
              <w:t>: social infrastructure, tourism and culture, urban and rural regeneration</w:t>
            </w:r>
          </w:p>
        </w:tc>
        <w:tc>
          <w:tcPr>
            <w:tcW w:w="930" w:type="pct"/>
            <w:noWrap/>
          </w:tcPr>
          <w:p w:rsidR="00C74AAF" w:rsidRPr="00E6181A" w:rsidRDefault="00C74AAF" w:rsidP="009B0D0C">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16.8%</w:t>
            </w:r>
          </w:p>
        </w:tc>
        <w:tc>
          <w:tcPr>
            <w:tcW w:w="525" w:type="pct"/>
            <w:tcBorders>
              <w:right w:val="single" w:sz="18" w:space="0" w:color="FFC000"/>
            </w:tcBorders>
            <w:noWrap/>
          </w:tcPr>
          <w:p w:rsidR="00C74AAF" w:rsidRPr="00E6181A" w:rsidRDefault="00C74AAF" w:rsidP="009B0D0C">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14.5%</w:t>
            </w:r>
          </w:p>
        </w:tc>
      </w:tr>
      <w:tr w:rsidR="0003713C" w:rsidRPr="00E6181A" w:rsidTr="00C74AAF">
        <w:trPr>
          <w:trHeight w:val="255"/>
        </w:trPr>
        <w:tc>
          <w:tcPr>
            <w:tcW w:w="5000" w:type="pct"/>
            <w:gridSpan w:val="3"/>
            <w:tcBorders>
              <w:top w:val="single" w:sz="18" w:space="0" w:color="FFC000"/>
              <w:left w:val="single" w:sz="18" w:space="0" w:color="FFC000"/>
              <w:right w:val="single" w:sz="18" w:space="0" w:color="FFC000"/>
            </w:tcBorders>
            <w:shd w:val="clear" w:color="auto" w:fill="FDE9D9" w:themeFill="accent6" w:themeFillTint="33"/>
            <w:noWrap/>
            <w:hideMark/>
          </w:tcPr>
          <w:p w:rsidR="0003713C" w:rsidRPr="00E6181A" w:rsidRDefault="0003713C" w:rsidP="004835EF">
            <w:pPr>
              <w:rPr>
                <w:rFonts w:ascii="Corbel" w:eastAsia="Times New Roman" w:hAnsi="Corbel" w:cs="Arial"/>
                <w:color w:val="000000"/>
                <w:sz w:val="20"/>
                <w:szCs w:val="20"/>
                <w:lang w:eastAsia="pl-PL"/>
              </w:rPr>
            </w:pPr>
            <w:proofErr w:type="spellStart"/>
            <w:r w:rsidRPr="00E6181A">
              <w:rPr>
                <w:rFonts w:ascii="Corbel" w:eastAsia="Times New Roman" w:hAnsi="Corbel" w:cs="Arial"/>
                <w:b/>
                <w:i/>
                <w:iCs/>
                <w:color w:val="E36C0A" w:themeColor="accent6" w:themeShade="BF"/>
                <w:sz w:val="20"/>
                <w:szCs w:val="20"/>
                <w:lang w:eastAsia="pl-PL"/>
              </w:rPr>
              <w:t>Rate</w:t>
            </w:r>
            <w:proofErr w:type="spellEnd"/>
            <w:r w:rsidRPr="00E6181A">
              <w:rPr>
                <w:rFonts w:ascii="Corbel" w:eastAsia="Times New Roman" w:hAnsi="Corbel" w:cs="Arial"/>
                <w:b/>
                <w:i/>
                <w:iCs/>
                <w:color w:val="E36C0A" w:themeColor="accent6" w:themeShade="BF"/>
                <w:sz w:val="20"/>
                <w:szCs w:val="20"/>
                <w:lang w:eastAsia="pl-PL"/>
              </w:rPr>
              <w:t xml:space="preserve"> of </w:t>
            </w:r>
            <w:proofErr w:type="spellStart"/>
            <w:r w:rsidRPr="00E6181A">
              <w:rPr>
                <w:rFonts w:ascii="Corbel" w:eastAsia="Times New Roman" w:hAnsi="Corbel" w:cs="Arial"/>
                <w:b/>
                <w:i/>
                <w:iCs/>
                <w:color w:val="E36C0A" w:themeColor="accent6" w:themeShade="BF"/>
                <w:sz w:val="20"/>
                <w:szCs w:val="20"/>
                <w:lang w:eastAsia="pl-PL"/>
              </w:rPr>
              <w:t>absorption</w:t>
            </w:r>
            <w:proofErr w:type="spellEnd"/>
            <w:r w:rsidRPr="00E6181A">
              <w:rPr>
                <w:rFonts w:ascii="Corbel" w:eastAsia="Times New Roman" w:hAnsi="Corbel" w:cs="Arial"/>
                <w:b/>
                <w:i/>
                <w:iCs/>
                <w:color w:val="E36C0A" w:themeColor="accent6" w:themeShade="BF"/>
                <w:sz w:val="20"/>
                <w:szCs w:val="20"/>
                <w:lang w:eastAsia="pl-PL"/>
              </w:rPr>
              <w:t xml:space="preserve"> [</w:t>
            </w:r>
            <w:r>
              <w:rPr>
                <w:rFonts w:ascii="Corbel" w:eastAsia="Times New Roman" w:hAnsi="Corbel" w:cs="Arial"/>
                <w:b/>
                <w:i/>
                <w:iCs/>
                <w:color w:val="E36C0A" w:themeColor="accent6" w:themeShade="BF"/>
                <w:sz w:val="20"/>
                <w:szCs w:val="20"/>
                <w:lang w:eastAsia="pl-PL"/>
              </w:rPr>
              <w:t xml:space="preserve">in </w:t>
            </w:r>
            <w:r w:rsidRPr="00E6181A">
              <w:rPr>
                <w:rFonts w:ascii="Corbel" w:eastAsia="Times New Roman" w:hAnsi="Corbel" w:cs="Arial"/>
                <w:b/>
                <w:i/>
                <w:iCs/>
                <w:color w:val="E36C0A" w:themeColor="accent6" w:themeShade="BF"/>
                <w:sz w:val="20"/>
                <w:szCs w:val="20"/>
                <w:lang w:eastAsia="pl-PL"/>
              </w:rPr>
              <w:t>2014]</w:t>
            </w:r>
          </w:p>
        </w:tc>
      </w:tr>
      <w:tr w:rsidR="00C74AAF" w:rsidRPr="00E6181A" w:rsidTr="00C74AAF">
        <w:trPr>
          <w:trHeight w:val="255"/>
        </w:trPr>
        <w:tc>
          <w:tcPr>
            <w:tcW w:w="3545" w:type="pct"/>
            <w:tcBorders>
              <w:left w:val="single" w:sz="18" w:space="0" w:color="FFC000"/>
            </w:tcBorders>
            <w:noWrap/>
            <w:hideMark/>
          </w:tcPr>
          <w:p w:rsidR="00C74AAF" w:rsidRPr="00E6181A" w:rsidRDefault="00C74AAF" w:rsidP="004835EF">
            <w:pPr>
              <w:rPr>
                <w:rFonts w:ascii="Corbel" w:eastAsia="Times New Roman" w:hAnsi="Corbel" w:cs="Arial"/>
                <w:color w:val="000000"/>
                <w:sz w:val="20"/>
                <w:szCs w:val="20"/>
                <w:lang w:val="en-US" w:eastAsia="pl-PL"/>
              </w:rPr>
            </w:pPr>
            <w:r w:rsidRPr="00E6181A">
              <w:rPr>
                <w:rFonts w:ascii="Corbel" w:eastAsia="Times New Roman" w:hAnsi="Corbel" w:cs="Arial"/>
                <w:color w:val="000000"/>
                <w:sz w:val="20"/>
                <w:szCs w:val="20"/>
                <w:lang w:val="en-US" w:eastAsia="pl-PL"/>
              </w:rPr>
              <w:t>Category A</w:t>
            </w:r>
            <w:r>
              <w:rPr>
                <w:rFonts w:ascii="Corbel" w:eastAsia="Times New Roman" w:hAnsi="Corbel" w:cs="Arial"/>
                <w:color w:val="000000"/>
                <w:sz w:val="20"/>
                <w:szCs w:val="20"/>
                <w:lang w:val="en-US" w:eastAsia="pl-PL"/>
              </w:rPr>
              <w:t xml:space="preserve"> “Innovative </w:t>
            </w:r>
            <w:proofErr w:type="spellStart"/>
            <w:r>
              <w:rPr>
                <w:rFonts w:ascii="Corbel" w:eastAsia="Times New Roman" w:hAnsi="Corbel" w:cs="Arial"/>
                <w:color w:val="000000"/>
                <w:sz w:val="20"/>
                <w:szCs w:val="20"/>
                <w:lang w:val="en-US" w:eastAsia="pl-PL"/>
              </w:rPr>
              <w:t>enivironment</w:t>
            </w:r>
            <w:proofErr w:type="spellEnd"/>
            <w:r>
              <w:rPr>
                <w:rFonts w:ascii="Corbel" w:eastAsia="Times New Roman" w:hAnsi="Corbel" w:cs="Arial"/>
                <w:color w:val="000000"/>
                <w:sz w:val="20"/>
                <w:szCs w:val="20"/>
                <w:lang w:val="en-US" w:eastAsia="pl-PL"/>
              </w:rPr>
              <w:t>”</w:t>
            </w:r>
            <w:r w:rsidRPr="00E6181A">
              <w:rPr>
                <w:rFonts w:ascii="Corbel" w:eastAsia="Times New Roman" w:hAnsi="Corbel" w:cs="Arial"/>
                <w:color w:val="000000"/>
                <w:sz w:val="20"/>
                <w:szCs w:val="20"/>
                <w:lang w:val="en-US" w:eastAsia="pl-PL"/>
              </w:rPr>
              <w:t>: business support, human resources, IT infrastructure and services, research and technology</w:t>
            </w:r>
          </w:p>
        </w:tc>
        <w:tc>
          <w:tcPr>
            <w:tcW w:w="930" w:type="pct"/>
            <w:noWrap/>
          </w:tcPr>
          <w:p w:rsidR="00C74AAF" w:rsidRPr="00E6181A" w:rsidRDefault="00C74AAF" w:rsidP="009B0D0C">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53.5%</w:t>
            </w:r>
          </w:p>
        </w:tc>
        <w:tc>
          <w:tcPr>
            <w:tcW w:w="525" w:type="pct"/>
            <w:tcBorders>
              <w:right w:val="single" w:sz="18" w:space="0" w:color="FFC000"/>
            </w:tcBorders>
            <w:noWrap/>
          </w:tcPr>
          <w:p w:rsidR="00C74AAF" w:rsidRPr="00E6181A" w:rsidRDefault="00C74AAF" w:rsidP="009B0D0C">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52.9%</w:t>
            </w:r>
          </w:p>
        </w:tc>
      </w:tr>
      <w:tr w:rsidR="00C74AAF" w:rsidRPr="00E6181A" w:rsidTr="00C74AAF">
        <w:trPr>
          <w:trHeight w:val="255"/>
        </w:trPr>
        <w:tc>
          <w:tcPr>
            <w:tcW w:w="3545" w:type="pct"/>
            <w:tcBorders>
              <w:left w:val="single" w:sz="18" w:space="0" w:color="FFC000"/>
            </w:tcBorders>
            <w:noWrap/>
            <w:hideMark/>
          </w:tcPr>
          <w:p w:rsidR="00C74AAF" w:rsidRPr="00E6181A" w:rsidRDefault="00C74AAF" w:rsidP="004835EF">
            <w:pPr>
              <w:rPr>
                <w:rFonts w:ascii="Corbel" w:eastAsia="Times New Roman" w:hAnsi="Corbel" w:cs="Arial"/>
                <w:color w:val="000000"/>
                <w:sz w:val="20"/>
                <w:szCs w:val="20"/>
                <w:lang w:val="en-US" w:eastAsia="pl-PL"/>
              </w:rPr>
            </w:pPr>
            <w:r w:rsidRPr="00E6181A">
              <w:rPr>
                <w:rFonts w:ascii="Corbel" w:eastAsia="Times New Roman" w:hAnsi="Corbel" w:cs="Arial"/>
                <w:color w:val="000000"/>
                <w:sz w:val="20"/>
                <w:szCs w:val="20"/>
                <w:lang w:val="en-US" w:eastAsia="pl-PL"/>
              </w:rPr>
              <w:t>Category B</w:t>
            </w:r>
            <w:r>
              <w:rPr>
                <w:rFonts w:ascii="Corbel" w:eastAsia="Times New Roman" w:hAnsi="Corbel" w:cs="Arial"/>
                <w:color w:val="000000"/>
                <w:sz w:val="20"/>
                <w:szCs w:val="20"/>
                <w:lang w:val="en-US" w:eastAsia="pl-PL"/>
              </w:rPr>
              <w:t xml:space="preserve"> ”Basic infrastructure”</w:t>
            </w:r>
            <w:r w:rsidRPr="00E6181A">
              <w:rPr>
                <w:rFonts w:ascii="Corbel" w:eastAsia="Times New Roman" w:hAnsi="Corbel" w:cs="Arial"/>
                <w:color w:val="000000"/>
                <w:sz w:val="20"/>
                <w:szCs w:val="20"/>
                <w:lang w:val="en-US" w:eastAsia="pl-PL"/>
              </w:rPr>
              <w:t>: energy, environment and natural resources, transport infrastructure</w:t>
            </w:r>
          </w:p>
        </w:tc>
        <w:tc>
          <w:tcPr>
            <w:tcW w:w="930" w:type="pct"/>
            <w:noWrap/>
          </w:tcPr>
          <w:p w:rsidR="00C74AAF" w:rsidRPr="00E6181A" w:rsidRDefault="00C74AAF" w:rsidP="009B0D0C">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50.3%</w:t>
            </w:r>
          </w:p>
        </w:tc>
        <w:tc>
          <w:tcPr>
            <w:tcW w:w="525" w:type="pct"/>
            <w:tcBorders>
              <w:right w:val="single" w:sz="18" w:space="0" w:color="FFC000"/>
            </w:tcBorders>
            <w:noWrap/>
          </w:tcPr>
          <w:p w:rsidR="00C74AAF" w:rsidRPr="00E6181A" w:rsidRDefault="00C74AAF" w:rsidP="009B0D0C">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52.0%</w:t>
            </w:r>
          </w:p>
        </w:tc>
      </w:tr>
      <w:tr w:rsidR="00C74AAF" w:rsidRPr="00E6181A" w:rsidTr="00C74AAF">
        <w:trPr>
          <w:trHeight w:val="255"/>
        </w:trPr>
        <w:tc>
          <w:tcPr>
            <w:tcW w:w="3545" w:type="pct"/>
            <w:tcBorders>
              <w:left w:val="single" w:sz="18" w:space="0" w:color="FFC000"/>
              <w:bottom w:val="single" w:sz="18" w:space="0" w:color="FFC000"/>
            </w:tcBorders>
            <w:noWrap/>
            <w:hideMark/>
          </w:tcPr>
          <w:p w:rsidR="00C74AAF" w:rsidRPr="00E6181A" w:rsidRDefault="00C74AAF" w:rsidP="004835EF">
            <w:pPr>
              <w:rPr>
                <w:rFonts w:ascii="Corbel" w:eastAsia="Times New Roman" w:hAnsi="Corbel" w:cs="Arial"/>
                <w:color w:val="000000"/>
                <w:sz w:val="20"/>
                <w:szCs w:val="20"/>
                <w:lang w:val="en-US" w:eastAsia="pl-PL"/>
              </w:rPr>
            </w:pPr>
            <w:r w:rsidRPr="00E6181A">
              <w:rPr>
                <w:rFonts w:ascii="Corbel" w:eastAsia="Times New Roman" w:hAnsi="Corbel" w:cs="Arial"/>
                <w:color w:val="000000"/>
                <w:sz w:val="20"/>
                <w:szCs w:val="20"/>
                <w:lang w:val="en-US" w:eastAsia="pl-PL"/>
              </w:rPr>
              <w:t>Category C</w:t>
            </w:r>
            <w:r>
              <w:rPr>
                <w:rFonts w:ascii="Corbel" w:eastAsia="Times New Roman" w:hAnsi="Corbel" w:cs="Arial"/>
                <w:color w:val="000000"/>
                <w:sz w:val="20"/>
                <w:szCs w:val="20"/>
                <w:lang w:val="en-US" w:eastAsia="pl-PL"/>
              </w:rPr>
              <w:t xml:space="preserve"> “Quality of life”</w:t>
            </w:r>
            <w:r w:rsidRPr="00E6181A">
              <w:rPr>
                <w:rFonts w:ascii="Corbel" w:eastAsia="Times New Roman" w:hAnsi="Corbel" w:cs="Arial"/>
                <w:color w:val="000000"/>
                <w:sz w:val="20"/>
                <w:szCs w:val="20"/>
                <w:lang w:val="en-US" w:eastAsia="pl-PL"/>
              </w:rPr>
              <w:t>: social infrastructure, tourism and culture, urban and rural regeneration</w:t>
            </w:r>
          </w:p>
        </w:tc>
        <w:tc>
          <w:tcPr>
            <w:tcW w:w="930" w:type="pct"/>
            <w:tcBorders>
              <w:bottom w:val="single" w:sz="18" w:space="0" w:color="FFC000"/>
            </w:tcBorders>
            <w:noWrap/>
          </w:tcPr>
          <w:p w:rsidR="00C74AAF" w:rsidRPr="00E6181A" w:rsidRDefault="00C74AAF" w:rsidP="009B0D0C">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59.3%</w:t>
            </w:r>
          </w:p>
        </w:tc>
        <w:tc>
          <w:tcPr>
            <w:tcW w:w="525" w:type="pct"/>
            <w:tcBorders>
              <w:bottom w:val="single" w:sz="18" w:space="0" w:color="FFC000"/>
              <w:right w:val="single" w:sz="18" w:space="0" w:color="FFC000"/>
            </w:tcBorders>
            <w:noWrap/>
          </w:tcPr>
          <w:p w:rsidR="00C74AAF" w:rsidRPr="00E6181A" w:rsidRDefault="00C74AAF" w:rsidP="009B0D0C">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50.6%</w:t>
            </w:r>
          </w:p>
        </w:tc>
      </w:tr>
    </w:tbl>
    <w:p w:rsidR="008D566E" w:rsidRPr="003864D3" w:rsidRDefault="008D566E" w:rsidP="008D566E">
      <w:pPr>
        <w:jc w:val="both"/>
        <w:rPr>
          <w:rFonts w:ascii="Corbel" w:eastAsia="MS Mincho" w:hAnsi="Corbel" w:cs="Times New Roman"/>
          <w:noProof/>
          <w:color w:val="404040"/>
          <w:sz w:val="20"/>
          <w:szCs w:val="24"/>
          <w:lang w:val="en-GB" w:eastAsia="ja-JP"/>
        </w:rPr>
      </w:pPr>
      <w:r w:rsidRPr="003864D3">
        <w:rPr>
          <w:rFonts w:ascii="Corbel" w:eastAsia="MS Mincho" w:hAnsi="Corbel" w:cs="Times New Roman"/>
          <w:noProof/>
          <w:color w:val="404040"/>
          <w:sz w:val="20"/>
          <w:szCs w:val="24"/>
          <w:lang w:val="en-GB" w:eastAsia="ja-JP"/>
        </w:rPr>
        <w:t xml:space="preserve">* % of allocation does not add to 1, because the “technical assistance” is not included in any of the categories. </w:t>
      </w:r>
    </w:p>
    <w:p w:rsidR="003C750D" w:rsidRPr="009B0D0C" w:rsidRDefault="00AA072C" w:rsidP="003C750D">
      <w:pPr>
        <w:jc w:val="both"/>
        <w:rPr>
          <w:rFonts w:ascii="Corbel" w:eastAsia="MS Mincho" w:hAnsi="Corbel" w:cs="Times New Roman"/>
          <w:noProof/>
          <w:color w:val="404040"/>
          <w:sz w:val="24"/>
          <w:szCs w:val="24"/>
          <w:lang w:val="en-GB" w:eastAsia="ja-JP"/>
        </w:rPr>
      </w:pPr>
      <w:r>
        <w:rPr>
          <w:rFonts w:ascii="Corbel" w:eastAsia="MS Mincho" w:hAnsi="Corbel" w:cs="Times New Roman"/>
          <w:noProof/>
          <w:color w:val="404040"/>
          <w:sz w:val="24"/>
          <w:szCs w:val="24"/>
          <w:lang w:val="en-GB" w:eastAsia="ja-JP"/>
        </w:rPr>
        <w:lastRenderedPageBreak/>
        <w:t xml:space="preserve">The thematic structure of allocation for Central Macedonia is very much alike the national average, with more than half of the ERDF and CF funds devoted to the Category B, that represents mainly infrastructural projects. </w:t>
      </w:r>
      <w:r w:rsidR="00F57C20">
        <w:rPr>
          <w:rFonts w:ascii="Corbel" w:eastAsia="MS Mincho" w:hAnsi="Corbel" w:cs="Times New Roman"/>
          <w:noProof/>
          <w:color w:val="404040"/>
          <w:sz w:val="24"/>
          <w:szCs w:val="24"/>
          <w:lang w:val="en-GB" w:eastAsia="ja-JP"/>
        </w:rPr>
        <w:t>The rate of absorption is balanced across the three thematic categories. Interestingly, the rate of absorption in the field of quality of life is the top perfo</w:t>
      </w:r>
      <w:r w:rsidR="00787922">
        <w:rPr>
          <w:rFonts w:ascii="Corbel" w:eastAsia="MS Mincho" w:hAnsi="Corbel" w:cs="Times New Roman"/>
          <w:noProof/>
          <w:color w:val="404040"/>
          <w:sz w:val="24"/>
          <w:szCs w:val="24"/>
          <w:lang w:val="en-GB" w:eastAsia="ja-JP"/>
        </w:rPr>
        <w:t>r</w:t>
      </w:r>
      <w:r w:rsidR="00F57C20">
        <w:rPr>
          <w:rFonts w:ascii="Corbel" w:eastAsia="MS Mincho" w:hAnsi="Corbel" w:cs="Times New Roman"/>
          <w:noProof/>
          <w:color w:val="404040"/>
          <w:sz w:val="24"/>
          <w:szCs w:val="24"/>
          <w:lang w:val="en-GB" w:eastAsia="ja-JP"/>
        </w:rPr>
        <w:t xml:space="preserve">mer for Central Macedonia, </w:t>
      </w:r>
      <w:r w:rsidR="00C74AAF">
        <w:rPr>
          <w:rFonts w:ascii="Corbel" w:eastAsia="MS Mincho" w:hAnsi="Corbel" w:cs="Times New Roman"/>
          <w:noProof/>
          <w:color w:val="404040"/>
          <w:sz w:val="24"/>
          <w:szCs w:val="24"/>
          <w:lang w:val="en-GB" w:eastAsia="ja-JP"/>
        </w:rPr>
        <w:t>while</w:t>
      </w:r>
      <w:r w:rsidR="00F57C20">
        <w:rPr>
          <w:rFonts w:ascii="Corbel" w:eastAsia="MS Mincho" w:hAnsi="Corbel" w:cs="Times New Roman"/>
          <w:noProof/>
          <w:color w:val="404040"/>
          <w:sz w:val="24"/>
          <w:szCs w:val="24"/>
          <w:lang w:val="en-GB" w:eastAsia="ja-JP"/>
        </w:rPr>
        <w:t xml:space="preserve"> </w:t>
      </w:r>
      <w:r w:rsidR="00C74AAF">
        <w:rPr>
          <w:rFonts w:ascii="Corbel" w:eastAsia="MS Mincho" w:hAnsi="Corbel" w:cs="Times New Roman"/>
          <w:noProof/>
          <w:color w:val="404040"/>
          <w:sz w:val="24"/>
          <w:szCs w:val="24"/>
          <w:lang w:val="en-GB" w:eastAsia="ja-JP"/>
        </w:rPr>
        <w:t xml:space="preserve">on average in Greece spending in this category is falling behind the other two (altough, the differences are very small). </w:t>
      </w:r>
    </w:p>
    <w:tbl>
      <w:tblPr>
        <w:tblStyle w:val="Tabela-Siatka"/>
        <w:tblW w:w="5000" w:type="pct"/>
        <w:tblCellMar>
          <w:top w:w="28" w:type="dxa"/>
          <w:left w:w="85" w:type="dxa"/>
          <w:bottom w:w="28" w:type="dxa"/>
          <w:right w:w="85" w:type="dxa"/>
        </w:tblCellMar>
        <w:tblLook w:val="04A0" w:firstRow="1" w:lastRow="0" w:firstColumn="1" w:lastColumn="0" w:noHBand="0" w:noVBand="1"/>
      </w:tblPr>
      <w:tblGrid>
        <w:gridCol w:w="4352"/>
        <w:gridCol w:w="2098"/>
        <w:gridCol w:w="1733"/>
        <w:gridCol w:w="1733"/>
      </w:tblGrid>
      <w:tr w:rsidR="00C74AAF" w:rsidRPr="00E6181A" w:rsidTr="00C74AAF">
        <w:trPr>
          <w:trHeight w:val="255"/>
        </w:trPr>
        <w:tc>
          <w:tcPr>
            <w:tcW w:w="2194" w:type="pct"/>
            <w:tcBorders>
              <w:top w:val="single" w:sz="18" w:space="0" w:color="0070C0"/>
              <w:left w:val="single" w:sz="18" w:space="0" w:color="0070C0"/>
              <w:bottom w:val="single" w:sz="18" w:space="0" w:color="0070C0"/>
            </w:tcBorders>
            <w:shd w:val="clear" w:color="auto" w:fill="95B3D7" w:themeFill="accent1" w:themeFillTint="99"/>
            <w:noWrap/>
            <w:hideMark/>
          </w:tcPr>
          <w:p w:rsidR="00C74AAF" w:rsidRPr="00E6181A" w:rsidRDefault="00C74AAF" w:rsidP="004835EF">
            <w:pPr>
              <w:rPr>
                <w:rFonts w:ascii="Corbel" w:eastAsia="Times New Roman" w:hAnsi="Corbel" w:cs="Arial"/>
                <w:bCs/>
                <w:color w:val="000000"/>
                <w:sz w:val="20"/>
                <w:szCs w:val="20"/>
                <w:lang w:eastAsia="pl-PL"/>
              </w:rPr>
            </w:pPr>
            <w:proofErr w:type="spellStart"/>
            <w:r w:rsidRPr="00E6181A">
              <w:rPr>
                <w:rFonts w:ascii="Corbel" w:eastAsia="Times New Roman" w:hAnsi="Corbel" w:cs="Arial"/>
                <w:b/>
                <w:bCs/>
                <w:color w:val="000000"/>
                <w:sz w:val="20"/>
                <w:szCs w:val="20"/>
                <w:lang w:eastAsia="pl-PL"/>
              </w:rPr>
              <w:t>Regional</w:t>
            </w:r>
            <w:proofErr w:type="spellEnd"/>
            <w:r w:rsidRPr="00E6181A">
              <w:rPr>
                <w:rFonts w:ascii="Corbel" w:eastAsia="Times New Roman" w:hAnsi="Corbel" w:cs="Arial"/>
                <w:b/>
                <w:bCs/>
                <w:color w:val="000000"/>
                <w:sz w:val="20"/>
                <w:szCs w:val="20"/>
                <w:lang w:eastAsia="pl-PL"/>
              </w:rPr>
              <w:t xml:space="preserve"> OP </w:t>
            </w:r>
            <w:r w:rsidRPr="00E6181A">
              <w:rPr>
                <w:rFonts w:ascii="Corbel" w:eastAsia="Times New Roman" w:hAnsi="Corbel" w:cs="Arial"/>
                <w:bCs/>
                <w:color w:val="000000"/>
                <w:sz w:val="20"/>
                <w:szCs w:val="20"/>
                <w:lang w:eastAsia="pl-PL"/>
              </w:rPr>
              <w:t>[ERDF]</w:t>
            </w:r>
          </w:p>
        </w:tc>
        <w:tc>
          <w:tcPr>
            <w:tcW w:w="1058" w:type="pct"/>
            <w:tcBorders>
              <w:top w:val="single" w:sz="18" w:space="0" w:color="0070C0"/>
              <w:bottom w:val="single" w:sz="18" w:space="0" w:color="0070C0"/>
            </w:tcBorders>
            <w:shd w:val="clear" w:color="auto" w:fill="95B3D7" w:themeFill="accent1" w:themeFillTint="99"/>
            <w:noWrap/>
            <w:hideMark/>
          </w:tcPr>
          <w:p w:rsidR="00C74AAF" w:rsidRPr="00E6181A" w:rsidRDefault="00C74AAF" w:rsidP="00784474">
            <w:pPr>
              <w:jc w:val="center"/>
              <w:rPr>
                <w:rFonts w:ascii="Corbel" w:eastAsia="Times New Roman" w:hAnsi="Corbel" w:cs="Arial"/>
                <w:b/>
                <w:color w:val="000000"/>
                <w:sz w:val="20"/>
                <w:szCs w:val="20"/>
                <w:lang w:val="en-US" w:eastAsia="pl-PL"/>
              </w:rPr>
            </w:pPr>
            <w:r>
              <w:rPr>
                <w:rFonts w:ascii="Corbel" w:eastAsia="Times New Roman" w:hAnsi="Corbel" w:cs="Arial"/>
                <w:b/>
                <w:color w:val="000000"/>
                <w:sz w:val="20"/>
                <w:szCs w:val="20"/>
                <w:lang w:val="en-US" w:eastAsia="pl-PL"/>
              </w:rPr>
              <w:t>Central Macedonia</w:t>
            </w:r>
          </w:p>
        </w:tc>
        <w:tc>
          <w:tcPr>
            <w:tcW w:w="874" w:type="pct"/>
            <w:tcBorders>
              <w:top w:val="single" w:sz="18" w:space="0" w:color="0070C0"/>
              <w:bottom w:val="single" w:sz="18" w:space="0" w:color="0070C0"/>
            </w:tcBorders>
            <w:shd w:val="clear" w:color="auto" w:fill="95B3D7" w:themeFill="accent1" w:themeFillTint="99"/>
            <w:noWrap/>
            <w:hideMark/>
          </w:tcPr>
          <w:p w:rsidR="00C74AAF" w:rsidRPr="00E6181A" w:rsidRDefault="00C74AAF" w:rsidP="00784474">
            <w:pPr>
              <w:jc w:val="center"/>
              <w:rPr>
                <w:rFonts w:ascii="Corbel" w:eastAsia="Times New Roman" w:hAnsi="Corbel" w:cs="Arial"/>
                <w:b/>
                <w:color w:val="000000"/>
                <w:sz w:val="20"/>
                <w:szCs w:val="20"/>
                <w:lang w:val="en-US" w:eastAsia="pl-PL"/>
              </w:rPr>
            </w:pPr>
            <w:r>
              <w:rPr>
                <w:rFonts w:ascii="Corbel" w:eastAsia="Times New Roman" w:hAnsi="Corbel" w:cs="Arial"/>
                <w:b/>
                <w:color w:val="000000"/>
                <w:sz w:val="20"/>
                <w:szCs w:val="20"/>
                <w:lang w:val="en-US" w:eastAsia="pl-PL"/>
              </w:rPr>
              <w:t>Greece</w:t>
            </w:r>
          </w:p>
        </w:tc>
        <w:tc>
          <w:tcPr>
            <w:tcW w:w="874" w:type="pct"/>
            <w:tcBorders>
              <w:top w:val="single" w:sz="18" w:space="0" w:color="0070C0"/>
              <w:bottom w:val="single" w:sz="18" w:space="0" w:color="0070C0"/>
              <w:right w:val="single" w:sz="18" w:space="0" w:color="0070C0"/>
            </w:tcBorders>
            <w:shd w:val="clear" w:color="auto" w:fill="95B3D7" w:themeFill="accent1" w:themeFillTint="99"/>
            <w:noWrap/>
            <w:hideMark/>
          </w:tcPr>
          <w:p w:rsidR="00C74AAF" w:rsidRPr="00E6181A" w:rsidRDefault="00C74AAF" w:rsidP="009B0D0C">
            <w:pPr>
              <w:jc w:val="center"/>
              <w:rPr>
                <w:rFonts w:ascii="Corbel" w:eastAsia="Times New Roman" w:hAnsi="Corbel" w:cs="Arial"/>
                <w:b/>
                <w:color w:val="000000"/>
                <w:sz w:val="20"/>
                <w:szCs w:val="20"/>
                <w:lang w:eastAsia="pl-PL"/>
              </w:rPr>
            </w:pPr>
            <w:r w:rsidRPr="00E6181A">
              <w:rPr>
                <w:rFonts w:ascii="Corbel" w:eastAsia="Times New Roman" w:hAnsi="Corbel" w:cs="Arial"/>
                <w:b/>
                <w:color w:val="000000"/>
                <w:sz w:val="20"/>
                <w:szCs w:val="20"/>
                <w:lang w:eastAsia="pl-PL"/>
              </w:rPr>
              <w:t>Unit</w:t>
            </w:r>
          </w:p>
        </w:tc>
      </w:tr>
      <w:tr w:rsidR="00BA7E8E" w:rsidRPr="00E6181A" w:rsidTr="00C74AAF">
        <w:trPr>
          <w:trHeight w:val="255"/>
        </w:trPr>
        <w:tc>
          <w:tcPr>
            <w:tcW w:w="5000" w:type="pct"/>
            <w:gridSpan w:val="4"/>
            <w:tcBorders>
              <w:top w:val="single" w:sz="18" w:space="0" w:color="0070C0"/>
              <w:left w:val="single" w:sz="18" w:space="0" w:color="0070C0"/>
              <w:right w:val="single" w:sz="18" w:space="0" w:color="0070C0"/>
            </w:tcBorders>
            <w:shd w:val="clear" w:color="auto" w:fill="DBE5F1" w:themeFill="accent1" w:themeFillTint="33"/>
            <w:noWrap/>
            <w:hideMark/>
          </w:tcPr>
          <w:p w:rsidR="00BA7E8E" w:rsidRPr="00E6181A" w:rsidRDefault="00BA7E8E" w:rsidP="004835EF">
            <w:pPr>
              <w:rPr>
                <w:rFonts w:ascii="Corbel" w:eastAsia="Times New Roman" w:hAnsi="Corbel" w:cs="Arial"/>
                <w:color w:val="000000"/>
                <w:sz w:val="20"/>
                <w:szCs w:val="20"/>
                <w:lang w:eastAsia="pl-PL"/>
              </w:rPr>
            </w:pPr>
            <w:proofErr w:type="spellStart"/>
            <w:r w:rsidRPr="00E6181A">
              <w:rPr>
                <w:rFonts w:ascii="Corbel" w:eastAsia="Times New Roman" w:hAnsi="Corbel" w:cs="Arial"/>
                <w:b/>
                <w:i/>
                <w:iCs/>
                <w:color w:val="17365D" w:themeColor="text2" w:themeShade="BF"/>
                <w:sz w:val="20"/>
                <w:szCs w:val="20"/>
                <w:lang w:eastAsia="pl-PL"/>
              </w:rPr>
              <w:t>Allocations</w:t>
            </w:r>
            <w:proofErr w:type="spellEnd"/>
            <w:r w:rsidR="008451A0">
              <w:rPr>
                <w:rFonts w:ascii="Corbel" w:eastAsia="Times New Roman" w:hAnsi="Corbel" w:cs="Arial"/>
                <w:b/>
                <w:i/>
                <w:iCs/>
                <w:color w:val="17365D" w:themeColor="text2" w:themeShade="BF"/>
                <w:sz w:val="20"/>
                <w:szCs w:val="20"/>
                <w:lang w:eastAsia="pl-PL"/>
              </w:rPr>
              <w:t xml:space="preserve"> to </w:t>
            </w:r>
            <w:proofErr w:type="spellStart"/>
            <w:r w:rsidR="008451A0">
              <w:rPr>
                <w:rFonts w:ascii="Corbel" w:eastAsia="Times New Roman" w:hAnsi="Corbel" w:cs="Arial"/>
                <w:b/>
                <w:i/>
                <w:iCs/>
                <w:color w:val="17365D" w:themeColor="text2" w:themeShade="BF"/>
                <w:sz w:val="20"/>
                <w:szCs w:val="20"/>
                <w:lang w:eastAsia="pl-PL"/>
              </w:rPr>
              <w:t>Regional</w:t>
            </w:r>
            <w:proofErr w:type="spellEnd"/>
            <w:r w:rsidR="008451A0">
              <w:rPr>
                <w:rFonts w:ascii="Corbel" w:eastAsia="Times New Roman" w:hAnsi="Corbel" w:cs="Arial"/>
                <w:b/>
                <w:i/>
                <w:iCs/>
                <w:color w:val="17365D" w:themeColor="text2" w:themeShade="BF"/>
                <w:sz w:val="20"/>
                <w:szCs w:val="20"/>
                <w:lang w:eastAsia="pl-PL"/>
              </w:rPr>
              <w:t xml:space="preserve"> </w:t>
            </w:r>
            <w:proofErr w:type="spellStart"/>
            <w:r w:rsidR="008451A0">
              <w:rPr>
                <w:rFonts w:ascii="Corbel" w:eastAsia="Times New Roman" w:hAnsi="Corbel" w:cs="Arial"/>
                <w:b/>
                <w:i/>
                <w:iCs/>
                <w:color w:val="17365D" w:themeColor="text2" w:themeShade="BF"/>
                <w:sz w:val="20"/>
                <w:szCs w:val="20"/>
                <w:lang w:eastAsia="pl-PL"/>
              </w:rPr>
              <w:t>OPs</w:t>
            </w:r>
            <w:proofErr w:type="spellEnd"/>
          </w:p>
        </w:tc>
      </w:tr>
      <w:tr w:rsidR="00C74AAF" w:rsidRPr="00E6181A" w:rsidTr="00C74AAF">
        <w:trPr>
          <w:trHeight w:val="255"/>
        </w:trPr>
        <w:tc>
          <w:tcPr>
            <w:tcW w:w="2194" w:type="pct"/>
            <w:tcBorders>
              <w:left w:val="single" w:sz="18" w:space="0" w:color="0070C0"/>
            </w:tcBorders>
            <w:noWrap/>
            <w:hideMark/>
          </w:tcPr>
          <w:p w:rsidR="00C74AAF" w:rsidRPr="00E6181A" w:rsidRDefault="00C74AAF" w:rsidP="003946EE">
            <w:pPr>
              <w:rPr>
                <w:rFonts w:ascii="Corbel" w:eastAsia="Times New Roman" w:hAnsi="Corbel" w:cs="Arial"/>
                <w:color w:val="000000"/>
                <w:sz w:val="20"/>
                <w:szCs w:val="20"/>
                <w:lang w:eastAsia="pl-PL"/>
              </w:rPr>
            </w:pPr>
            <w:proofErr w:type="spellStart"/>
            <w:r>
              <w:rPr>
                <w:rFonts w:ascii="Corbel" w:eastAsia="Times New Roman" w:hAnsi="Corbel" w:cs="Arial"/>
                <w:color w:val="000000"/>
                <w:sz w:val="20"/>
                <w:szCs w:val="20"/>
                <w:lang w:eastAsia="pl-PL"/>
              </w:rPr>
              <w:t>A</w:t>
            </w:r>
            <w:r w:rsidRPr="00E6181A">
              <w:rPr>
                <w:rFonts w:ascii="Corbel" w:eastAsia="Times New Roman" w:hAnsi="Corbel" w:cs="Arial"/>
                <w:color w:val="000000"/>
                <w:sz w:val="20"/>
                <w:szCs w:val="20"/>
                <w:lang w:eastAsia="pl-PL"/>
              </w:rPr>
              <w:t>llocation</w:t>
            </w:r>
            <w:proofErr w:type="spellEnd"/>
            <w:r w:rsidRPr="00E6181A">
              <w:rPr>
                <w:rFonts w:ascii="Corbel" w:eastAsia="Times New Roman" w:hAnsi="Corbel" w:cs="Arial"/>
                <w:color w:val="000000"/>
                <w:sz w:val="20"/>
                <w:szCs w:val="20"/>
                <w:lang w:eastAsia="pl-PL"/>
              </w:rPr>
              <w:t xml:space="preserve"> 2007-2013</w:t>
            </w:r>
          </w:p>
        </w:tc>
        <w:tc>
          <w:tcPr>
            <w:tcW w:w="1058" w:type="pct"/>
            <w:noWrap/>
          </w:tcPr>
          <w:p w:rsidR="00C74AAF" w:rsidRPr="00E6181A" w:rsidRDefault="00C74AAF" w:rsidP="004835EF">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4468.7</w:t>
            </w:r>
          </w:p>
        </w:tc>
        <w:tc>
          <w:tcPr>
            <w:tcW w:w="874" w:type="pct"/>
            <w:noWrap/>
          </w:tcPr>
          <w:p w:rsidR="00C74AAF" w:rsidRPr="00E6181A" w:rsidRDefault="00C74AAF" w:rsidP="004835EF">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13351.5</w:t>
            </w:r>
          </w:p>
        </w:tc>
        <w:tc>
          <w:tcPr>
            <w:tcW w:w="874" w:type="pct"/>
            <w:tcBorders>
              <w:right w:val="single" w:sz="18" w:space="0" w:color="0070C0"/>
            </w:tcBorders>
            <w:noWrap/>
            <w:hideMark/>
          </w:tcPr>
          <w:p w:rsidR="00C74AAF" w:rsidRPr="00E6181A" w:rsidRDefault="00C74AAF" w:rsidP="004835EF">
            <w:pPr>
              <w:rPr>
                <w:rFonts w:ascii="Corbel" w:eastAsia="Times New Roman" w:hAnsi="Corbel" w:cs="Arial"/>
                <w:color w:val="000000"/>
                <w:sz w:val="20"/>
                <w:szCs w:val="20"/>
                <w:lang w:eastAsia="pl-PL"/>
              </w:rPr>
            </w:pPr>
            <w:r w:rsidRPr="00E6181A">
              <w:rPr>
                <w:rFonts w:ascii="Corbel" w:eastAsia="Times New Roman" w:hAnsi="Corbel" w:cs="Arial"/>
                <w:color w:val="000000"/>
                <w:sz w:val="20"/>
                <w:szCs w:val="20"/>
                <w:lang w:eastAsia="pl-PL"/>
              </w:rPr>
              <w:t>mln EUR</w:t>
            </w:r>
          </w:p>
        </w:tc>
      </w:tr>
      <w:tr w:rsidR="00C74AAF" w:rsidRPr="00E6181A" w:rsidTr="00C74AAF">
        <w:trPr>
          <w:trHeight w:val="255"/>
        </w:trPr>
        <w:tc>
          <w:tcPr>
            <w:tcW w:w="2194" w:type="pct"/>
            <w:tcBorders>
              <w:left w:val="single" w:sz="18" w:space="0" w:color="0070C0"/>
            </w:tcBorders>
            <w:noWrap/>
            <w:hideMark/>
          </w:tcPr>
          <w:p w:rsidR="00C74AAF" w:rsidRPr="00E6181A" w:rsidRDefault="00C74AAF" w:rsidP="003946EE">
            <w:pPr>
              <w:rPr>
                <w:rFonts w:ascii="Corbel" w:eastAsia="Times New Roman" w:hAnsi="Corbel" w:cs="Arial"/>
                <w:color w:val="000000"/>
                <w:sz w:val="20"/>
                <w:szCs w:val="20"/>
                <w:lang w:eastAsia="pl-PL"/>
              </w:rPr>
            </w:pPr>
            <w:proofErr w:type="spellStart"/>
            <w:r>
              <w:rPr>
                <w:rFonts w:ascii="Corbel" w:eastAsia="Times New Roman" w:hAnsi="Corbel" w:cs="Arial"/>
                <w:color w:val="000000"/>
                <w:sz w:val="20"/>
                <w:szCs w:val="20"/>
                <w:lang w:eastAsia="pl-PL"/>
              </w:rPr>
              <w:t>A</w:t>
            </w:r>
            <w:r w:rsidRPr="00E6181A">
              <w:rPr>
                <w:rFonts w:ascii="Corbel" w:eastAsia="Times New Roman" w:hAnsi="Corbel" w:cs="Arial"/>
                <w:color w:val="000000"/>
                <w:sz w:val="20"/>
                <w:szCs w:val="20"/>
                <w:lang w:eastAsia="pl-PL"/>
              </w:rPr>
              <w:t>llocation</w:t>
            </w:r>
            <w:proofErr w:type="spellEnd"/>
            <w:r w:rsidRPr="00E6181A">
              <w:rPr>
                <w:rFonts w:ascii="Corbel" w:eastAsia="Times New Roman" w:hAnsi="Corbel" w:cs="Arial"/>
                <w:color w:val="000000"/>
                <w:sz w:val="20"/>
                <w:szCs w:val="20"/>
                <w:lang w:eastAsia="pl-PL"/>
              </w:rPr>
              <w:t xml:space="preserve"> 2014-2020</w:t>
            </w:r>
          </w:p>
        </w:tc>
        <w:tc>
          <w:tcPr>
            <w:tcW w:w="1058" w:type="pct"/>
            <w:noWrap/>
          </w:tcPr>
          <w:p w:rsidR="00C74AAF" w:rsidRPr="00E6181A" w:rsidRDefault="00C74AAF" w:rsidP="004835EF">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640.6</w:t>
            </w:r>
          </w:p>
        </w:tc>
        <w:tc>
          <w:tcPr>
            <w:tcW w:w="874" w:type="pct"/>
            <w:noWrap/>
          </w:tcPr>
          <w:p w:rsidR="00C74AAF" w:rsidRPr="00E6181A" w:rsidRDefault="00C74AAF" w:rsidP="004835EF">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16094.7</w:t>
            </w:r>
          </w:p>
        </w:tc>
        <w:tc>
          <w:tcPr>
            <w:tcW w:w="874" w:type="pct"/>
            <w:tcBorders>
              <w:right w:val="single" w:sz="18" w:space="0" w:color="0070C0"/>
            </w:tcBorders>
            <w:noWrap/>
            <w:hideMark/>
          </w:tcPr>
          <w:p w:rsidR="00C74AAF" w:rsidRPr="00E6181A" w:rsidRDefault="00C74AAF" w:rsidP="004835EF">
            <w:pPr>
              <w:rPr>
                <w:rFonts w:ascii="Corbel" w:eastAsia="Times New Roman" w:hAnsi="Corbel" w:cs="Arial"/>
                <w:color w:val="000000"/>
                <w:sz w:val="20"/>
                <w:szCs w:val="20"/>
                <w:lang w:eastAsia="pl-PL"/>
              </w:rPr>
            </w:pPr>
            <w:r w:rsidRPr="00E6181A">
              <w:rPr>
                <w:rFonts w:ascii="Corbel" w:eastAsia="Times New Roman" w:hAnsi="Corbel" w:cs="Arial"/>
                <w:color w:val="000000"/>
                <w:sz w:val="20"/>
                <w:szCs w:val="20"/>
                <w:lang w:eastAsia="pl-PL"/>
              </w:rPr>
              <w:t>mln EUR</w:t>
            </w:r>
          </w:p>
        </w:tc>
      </w:tr>
      <w:tr w:rsidR="00C74AAF" w:rsidRPr="00E6181A" w:rsidTr="00C74AAF">
        <w:trPr>
          <w:trHeight w:val="255"/>
        </w:trPr>
        <w:tc>
          <w:tcPr>
            <w:tcW w:w="2194" w:type="pct"/>
            <w:tcBorders>
              <w:left w:val="single" w:sz="18" w:space="0" w:color="0070C0"/>
            </w:tcBorders>
            <w:noWrap/>
            <w:hideMark/>
          </w:tcPr>
          <w:p w:rsidR="00C74AAF" w:rsidRPr="00E6181A" w:rsidRDefault="00C74AAF" w:rsidP="003946EE">
            <w:pPr>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Ratio</w:t>
            </w:r>
            <w:r w:rsidRPr="00E6181A">
              <w:rPr>
                <w:rFonts w:ascii="Corbel" w:eastAsia="Times New Roman" w:hAnsi="Corbel" w:cs="Arial"/>
                <w:color w:val="000000"/>
                <w:sz w:val="20"/>
                <w:szCs w:val="20"/>
                <w:lang w:eastAsia="pl-PL"/>
              </w:rPr>
              <w:t xml:space="preserve"> [</w:t>
            </w:r>
            <w:r>
              <w:rPr>
                <w:rFonts w:ascii="Corbel" w:eastAsia="Times New Roman" w:hAnsi="Corbel" w:cs="Arial"/>
                <w:color w:val="000000"/>
                <w:sz w:val="20"/>
                <w:szCs w:val="20"/>
                <w:lang w:eastAsia="pl-PL"/>
              </w:rPr>
              <w:t xml:space="preserve">period 2014-2020 to </w:t>
            </w:r>
            <w:r w:rsidRPr="00E6181A">
              <w:rPr>
                <w:rFonts w:ascii="Corbel" w:eastAsia="Times New Roman" w:hAnsi="Corbel" w:cs="Arial"/>
                <w:color w:val="000000"/>
                <w:sz w:val="20"/>
                <w:szCs w:val="20"/>
                <w:lang w:eastAsia="pl-PL"/>
              </w:rPr>
              <w:t>20</w:t>
            </w:r>
            <w:r>
              <w:rPr>
                <w:rFonts w:ascii="Corbel" w:eastAsia="Times New Roman" w:hAnsi="Corbel" w:cs="Arial"/>
                <w:color w:val="000000"/>
                <w:sz w:val="20"/>
                <w:szCs w:val="20"/>
                <w:lang w:eastAsia="pl-PL"/>
              </w:rPr>
              <w:t>07</w:t>
            </w:r>
            <w:r w:rsidRPr="00E6181A">
              <w:rPr>
                <w:rFonts w:ascii="Corbel" w:eastAsia="Times New Roman" w:hAnsi="Corbel" w:cs="Arial"/>
                <w:color w:val="000000"/>
                <w:sz w:val="20"/>
                <w:szCs w:val="20"/>
                <w:lang w:eastAsia="pl-PL"/>
              </w:rPr>
              <w:t>-20</w:t>
            </w:r>
            <w:r>
              <w:rPr>
                <w:rFonts w:ascii="Corbel" w:eastAsia="Times New Roman" w:hAnsi="Corbel" w:cs="Arial"/>
                <w:color w:val="000000"/>
                <w:sz w:val="20"/>
                <w:szCs w:val="20"/>
                <w:lang w:eastAsia="pl-PL"/>
              </w:rPr>
              <w:t>13</w:t>
            </w:r>
            <w:r w:rsidRPr="00E6181A">
              <w:rPr>
                <w:rFonts w:ascii="Corbel" w:eastAsia="Times New Roman" w:hAnsi="Corbel" w:cs="Arial"/>
                <w:color w:val="000000"/>
                <w:sz w:val="20"/>
                <w:szCs w:val="20"/>
                <w:lang w:eastAsia="pl-PL"/>
              </w:rPr>
              <w:t>]</w:t>
            </w:r>
          </w:p>
        </w:tc>
        <w:tc>
          <w:tcPr>
            <w:tcW w:w="1058" w:type="pct"/>
            <w:noWrap/>
          </w:tcPr>
          <w:p w:rsidR="00C74AAF" w:rsidRPr="00E6181A" w:rsidRDefault="00C74AAF" w:rsidP="004835EF">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n/a</w:t>
            </w:r>
          </w:p>
        </w:tc>
        <w:tc>
          <w:tcPr>
            <w:tcW w:w="874" w:type="pct"/>
            <w:noWrap/>
          </w:tcPr>
          <w:p w:rsidR="00C74AAF" w:rsidRPr="00E6181A" w:rsidRDefault="00C74AAF" w:rsidP="004835EF">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1.21</w:t>
            </w:r>
          </w:p>
        </w:tc>
        <w:tc>
          <w:tcPr>
            <w:tcW w:w="874" w:type="pct"/>
            <w:tcBorders>
              <w:right w:val="single" w:sz="18" w:space="0" w:color="0070C0"/>
            </w:tcBorders>
            <w:noWrap/>
            <w:hideMark/>
          </w:tcPr>
          <w:p w:rsidR="00C74AAF" w:rsidRPr="00E6181A" w:rsidRDefault="00C74AAF" w:rsidP="004835EF">
            <w:pPr>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ratio</w:t>
            </w:r>
          </w:p>
        </w:tc>
      </w:tr>
      <w:tr w:rsidR="00BA7E8E" w:rsidRPr="00415BA6" w:rsidTr="00C74AAF">
        <w:trPr>
          <w:trHeight w:val="255"/>
        </w:trPr>
        <w:tc>
          <w:tcPr>
            <w:tcW w:w="5000" w:type="pct"/>
            <w:gridSpan w:val="4"/>
            <w:tcBorders>
              <w:top w:val="single" w:sz="18" w:space="0" w:color="0070C0"/>
              <w:left w:val="single" w:sz="18" w:space="0" w:color="0070C0"/>
              <w:right w:val="single" w:sz="18" w:space="0" w:color="0070C0"/>
            </w:tcBorders>
            <w:shd w:val="clear" w:color="auto" w:fill="DBE5F1" w:themeFill="accent1" w:themeFillTint="33"/>
            <w:noWrap/>
            <w:hideMark/>
          </w:tcPr>
          <w:p w:rsidR="00BA7E8E" w:rsidRPr="004A7819" w:rsidRDefault="00BA7E8E" w:rsidP="004835EF">
            <w:pPr>
              <w:rPr>
                <w:rFonts w:ascii="Corbel" w:eastAsia="Times New Roman" w:hAnsi="Corbel" w:cs="Arial"/>
                <w:color w:val="000000"/>
                <w:sz w:val="20"/>
                <w:szCs w:val="20"/>
                <w:lang w:val="en-US" w:eastAsia="pl-PL"/>
              </w:rPr>
            </w:pPr>
            <w:r w:rsidRPr="004A7819">
              <w:rPr>
                <w:rFonts w:ascii="Corbel" w:eastAsia="Times New Roman" w:hAnsi="Corbel" w:cs="Arial"/>
                <w:b/>
                <w:i/>
                <w:iCs/>
                <w:color w:val="17365D" w:themeColor="text2" w:themeShade="BF"/>
                <w:sz w:val="20"/>
                <w:szCs w:val="20"/>
                <w:lang w:val="en-US" w:eastAsia="pl-PL"/>
              </w:rPr>
              <w:t>Reported achievements</w:t>
            </w:r>
            <w:r w:rsidR="00077807">
              <w:rPr>
                <w:rFonts w:ascii="Corbel" w:eastAsia="Times New Roman" w:hAnsi="Corbel" w:cs="Arial"/>
                <w:b/>
                <w:i/>
                <w:iCs/>
                <w:color w:val="17365D" w:themeColor="text2" w:themeShade="BF"/>
                <w:sz w:val="20"/>
                <w:szCs w:val="20"/>
                <w:lang w:val="en-US" w:eastAsia="pl-PL"/>
              </w:rPr>
              <w:t>:</w:t>
            </w:r>
            <w:r w:rsidRPr="004A7819">
              <w:rPr>
                <w:rFonts w:ascii="Corbel" w:eastAsia="Times New Roman" w:hAnsi="Corbel" w:cs="Arial"/>
                <w:b/>
                <w:i/>
                <w:iCs/>
                <w:color w:val="17365D" w:themeColor="text2" w:themeShade="BF"/>
                <w:sz w:val="20"/>
                <w:szCs w:val="20"/>
                <w:lang w:val="en-US" w:eastAsia="pl-PL"/>
              </w:rPr>
              <w:t xml:space="preserve"> period 2007-2013 </w:t>
            </w:r>
            <w:r w:rsidR="004A7819" w:rsidRPr="004A7819">
              <w:rPr>
                <w:rFonts w:ascii="Corbel" w:eastAsia="Times New Roman" w:hAnsi="Corbel" w:cs="Arial"/>
                <w:b/>
                <w:i/>
                <w:iCs/>
                <w:color w:val="17365D" w:themeColor="text2" w:themeShade="BF"/>
                <w:sz w:val="20"/>
                <w:szCs w:val="20"/>
                <w:lang w:val="en-US" w:eastAsia="pl-PL"/>
              </w:rPr>
              <w:t xml:space="preserve"> </w:t>
            </w:r>
            <w:r w:rsidRPr="004A7819">
              <w:rPr>
                <w:rFonts w:ascii="Corbel" w:eastAsia="Times New Roman" w:hAnsi="Corbel" w:cs="Arial"/>
                <w:b/>
                <w:i/>
                <w:iCs/>
                <w:color w:val="17365D" w:themeColor="text2" w:themeShade="BF"/>
                <w:sz w:val="20"/>
                <w:szCs w:val="20"/>
                <w:lang w:val="en-US" w:eastAsia="pl-PL"/>
              </w:rPr>
              <w:t>[</w:t>
            </w:r>
            <w:r w:rsidR="004A7819" w:rsidRPr="004A7819">
              <w:rPr>
                <w:rFonts w:ascii="Corbel" w:eastAsia="Times New Roman" w:hAnsi="Corbel" w:cs="Arial"/>
                <w:b/>
                <w:i/>
                <w:iCs/>
                <w:color w:val="17365D" w:themeColor="text2" w:themeShade="BF"/>
                <w:sz w:val="20"/>
                <w:szCs w:val="20"/>
                <w:lang w:val="en-US" w:eastAsia="pl-PL"/>
              </w:rPr>
              <w:t>as</w:t>
            </w:r>
            <w:r w:rsidRPr="004A7819">
              <w:rPr>
                <w:rFonts w:ascii="Corbel" w:eastAsia="Times New Roman" w:hAnsi="Corbel" w:cs="Arial"/>
                <w:b/>
                <w:i/>
                <w:iCs/>
                <w:color w:val="17365D" w:themeColor="text2" w:themeShade="BF"/>
                <w:sz w:val="20"/>
                <w:szCs w:val="20"/>
                <w:lang w:val="en-US" w:eastAsia="pl-PL"/>
              </w:rPr>
              <w:t xml:space="preserve"> in 2013]</w:t>
            </w:r>
            <w:r w:rsidR="00D33E4C">
              <w:rPr>
                <w:rFonts w:ascii="Corbel" w:eastAsia="Times New Roman" w:hAnsi="Corbel" w:cs="Arial"/>
                <w:b/>
                <w:i/>
                <w:iCs/>
                <w:color w:val="17365D" w:themeColor="text2" w:themeShade="BF"/>
                <w:sz w:val="20"/>
                <w:szCs w:val="20"/>
                <w:lang w:val="en-US" w:eastAsia="pl-PL"/>
              </w:rPr>
              <w:t>*</w:t>
            </w:r>
          </w:p>
        </w:tc>
      </w:tr>
      <w:tr w:rsidR="00C74AAF" w:rsidRPr="00E6181A" w:rsidTr="00C74AAF">
        <w:trPr>
          <w:trHeight w:val="255"/>
        </w:trPr>
        <w:tc>
          <w:tcPr>
            <w:tcW w:w="2194" w:type="pct"/>
            <w:tcBorders>
              <w:left w:val="single" w:sz="18" w:space="0" w:color="0070C0"/>
            </w:tcBorders>
            <w:noWrap/>
            <w:hideMark/>
          </w:tcPr>
          <w:p w:rsidR="00C74AAF" w:rsidRPr="00E6181A" w:rsidRDefault="00C74AAF" w:rsidP="004835EF">
            <w:pPr>
              <w:rPr>
                <w:rFonts w:ascii="Corbel" w:eastAsia="Times New Roman" w:hAnsi="Corbel" w:cs="Arial"/>
                <w:color w:val="000000"/>
                <w:sz w:val="20"/>
                <w:szCs w:val="20"/>
                <w:lang w:eastAsia="pl-PL"/>
              </w:rPr>
            </w:pPr>
            <w:proofErr w:type="spellStart"/>
            <w:r>
              <w:rPr>
                <w:rFonts w:ascii="Corbel" w:eastAsia="Times New Roman" w:hAnsi="Corbel" w:cs="Arial"/>
                <w:color w:val="000000"/>
                <w:sz w:val="20"/>
                <w:szCs w:val="20"/>
                <w:lang w:eastAsia="pl-PL"/>
              </w:rPr>
              <w:t>Aggregated</w:t>
            </w:r>
            <w:proofErr w:type="spellEnd"/>
            <w:r>
              <w:rPr>
                <w:rFonts w:ascii="Corbel" w:eastAsia="Times New Roman" w:hAnsi="Corbel" w:cs="Arial"/>
                <w:color w:val="000000"/>
                <w:sz w:val="20"/>
                <w:szCs w:val="20"/>
                <w:lang w:eastAsia="pl-PL"/>
              </w:rPr>
              <w:t xml:space="preserve"> </w:t>
            </w:r>
            <w:proofErr w:type="spellStart"/>
            <w:r>
              <w:rPr>
                <w:rFonts w:ascii="Corbel" w:eastAsia="Times New Roman" w:hAnsi="Corbel" w:cs="Arial"/>
                <w:color w:val="000000"/>
                <w:sz w:val="20"/>
                <w:szCs w:val="20"/>
                <w:lang w:eastAsia="pl-PL"/>
              </w:rPr>
              <w:t>jobs</w:t>
            </w:r>
            <w:proofErr w:type="spellEnd"/>
          </w:p>
        </w:tc>
        <w:tc>
          <w:tcPr>
            <w:tcW w:w="1058" w:type="pct"/>
            <w:noWrap/>
          </w:tcPr>
          <w:p w:rsidR="00C74AAF" w:rsidRPr="00E6181A" w:rsidRDefault="00C74AAF" w:rsidP="004835EF">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(1286)</w:t>
            </w:r>
          </w:p>
        </w:tc>
        <w:tc>
          <w:tcPr>
            <w:tcW w:w="874" w:type="pct"/>
            <w:noWrap/>
          </w:tcPr>
          <w:p w:rsidR="00C74AAF" w:rsidRPr="00E6181A" w:rsidRDefault="00C74AAF" w:rsidP="004835EF">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21006</w:t>
            </w:r>
          </w:p>
        </w:tc>
        <w:tc>
          <w:tcPr>
            <w:tcW w:w="874" w:type="pct"/>
            <w:tcBorders>
              <w:right w:val="single" w:sz="18" w:space="0" w:color="0070C0"/>
            </w:tcBorders>
            <w:noWrap/>
            <w:hideMark/>
          </w:tcPr>
          <w:p w:rsidR="00C74AAF" w:rsidRPr="00E6181A" w:rsidRDefault="00C74AAF" w:rsidP="004835EF">
            <w:pPr>
              <w:rPr>
                <w:rFonts w:ascii="Corbel" w:eastAsia="Times New Roman" w:hAnsi="Corbel" w:cs="Arial"/>
                <w:color w:val="000000"/>
                <w:sz w:val="20"/>
                <w:szCs w:val="20"/>
                <w:lang w:eastAsia="pl-PL"/>
              </w:rPr>
            </w:pPr>
            <w:proofErr w:type="spellStart"/>
            <w:r w:rsidRPr="00E6181A">
              <w:rPr>
                <w:rFonts w:ascii="Corbel" w:eastAsia="Times New Roman" w:hAnsi="Corbel" w:cs="Arial"/>
                <w:color w:val="000000"/>
                <w:sz w:val="20"/>
                <w:szCs w:val="20"/>
                <w:lang w:eastAsia="pl-PL"/>
              </w:rPr>
              <w:t>jobs</w:t>
            </w:r>
            <w:proofErr w:type="spellEnd"/>
          </w:p>
        </w:tc>
      </w:tr>
      <w:tr w:rsidR="00C74AAF" w:rsidRPr="00E6181A" w:rsidTr="00C74AAF">
        <w:trPr>
          <w:trHeight w:val="255"/>
        </w:trPr>
        <w:tc>
          <w:tcPr>
            <w:tcW w:w="2194" w:type="pct"/>
            <w:tcBorders>
              <w:left w:val="single" w:sz="18" w:space="0" w:color="0070C0"/>
            </w:tcBorders>
            <w:noWrap/>
            <w:hideMark/>
          </w:tcPr>
          <w:p w:rsidR="00C74AAF" w:rsidRPr="00E6181A" w:rsidRDefault="00C74AAF" w:rsidP="003946EE">
            <w:pPr>
              <w:rPr>
                <w:rFonts w:ascii="Corbel" w:eastAsia="Times New Roman" w:hAnsi="Corbel" w:cs="Arial"/>
                <w:color w:val="000000"/>
                <w:sz w:val="20"/>
                <w:szCs w:val="20"/>
                <w:lang w:val="en-US" w:eastAsia="pl-PL"/>
              </w:rPr>
            </w:pPr>
            <w:r>
              <w:rPr>
                <w:rFonts w:ascii="Corbel" w:eastAsia="Times New Roman" w:hAnsi="Corbel" w:cs="Arial"/>
                <w:color w:val="000000"/>
                <w:sz w:val="20"/>
                <w:szCs w:val="20"/>
                <w:lang w:val="en-US" w:eastAsia="pl-PL"/>
              </w:rPr>
              <w:t>R</w:t>
            </w:r>
            <w:r w:rsidRPr="00E6181A">
              <w:rPr>
                <w:rFonts w:ascii="Corbel" w:eastAsia="Times New Roman" w:hAnsi="Corbel" w:cs="Arial"/>
                <w:color w:val="000000"/>
                <w:sz w:val="20"/>
                <w:szCs w:val="20"/>
                <w:lang w:val="en-US" w:eastAsia="pl-PL"/>
              </w:rPr>
              <w:t>econstructed roads</w:t>
            </w:r>
          </w:p>
        </w:tc>
        <w:tc>
          <w:tcPr>
            <w:tcW w:w="1058" w:type="pct"/>
            <w:noWrap/>
          </w:tcPr>
          <w:p w:rsidR="00C74AAF" w:rsidRPr="00E6181A" w:rsidRDefault="00C74AAF" w:rsidP="004835EF">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42</w:t>
            </w:r>
          </w:p>
        </w:tc>
        <w:tc>
          <w:tcPr>
            <w:tcW w:w="874" w:type="pct"/>
            <w:noWrap/>
          </w:tcPr>
          <w:p w:rsidR="00C74AAF" w:rsidRPr="00E6181A" w:rsidRDefault="00C74AAF" w:rsidP="004835EF">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2646</w:t>
            </w:r>
          </w:p>
        </w:tc>
        <w:tc>
          <w:tcPr>
            <w:tcW w:w="874" w:type="pct"/>
            <w:tcBorders>
              <w:right w:val="single" w:sz="18" w:space="0" w:color="0070C0"/>
            </w:tcBorders>
            <w:noWrap/>
            <w:hideMark/>
          </w:tcPr>
          <w:p w:rsidR="00C74AAF" w:rsidRPr="00E6181A" w:rsidRDefault="00C74AAF" w:rsidP="004835EF">
            <w:pPr>
              <w:rPr>
                <w:rFonts w:ascii="Corbel" w:eastAsia="Times New Roman" w:hAnsi="Corbel" w:cs="Arial"/>
                <w:color w:val="000000"/>
                <w:sz w:val="20"/>
                <w:szCs w:val="20"/>
                <w:lang w:eastAsia="pl-PL"/>
              </w:rPr>
            </w:pPr>
            <w:r w:rsidRPr="00E6181A">
              <w:rPr>
                <w:rFonts w:ascii="Corbel" w:eastAsia="Times New Roman" w:hAnsi="Corbel" w:cs="Arial"/>
                <w:color w:val="000000"/>
                <w:sz w:val="20"/>
                <w:szCs w:val="20"/>
                <w:lang w:eastAsia="pl-PL"/>
              </w:rPr>
              <w:t>km</w:t>
            </w:r>
          </w:p>
        </w:tc>
      </w:tr>
      <w:tr w:rsidR="00C74AAF" w:rsidRPr="00E6181A" w:rsidTr="00C74AAF">
        <w:trPr>
          <w:trHeight w:val="255"/>
        </w:trPr>
        <w:tc>
          <w:tcPr>
            <w:tcW w:w="2194" w:type="pct"/>
            <w:tcBorders>
              <w:left w:val="single" w:sz="18" w:space="0" w:color="0070C0"/>
            </w:tcBorders>
            <w:noWrap/>
            <w:hideMark/>
          </w:tcPr>
          <w:p w:rsidR="00C74AAF" w:rsidRPr="00E6181A" w:rsidRDefault="00C74AAF" w:rsidP="004835EF">
            <w:pPr>
              <w:rPr>
                <w:rFonts w:ascii="Corbel" w:eastAsia="Times New Roman" w:hAnsi="Corbel" w:cs="Arial"/>
                <w:color w:val="000000"/>
                <w:sz w:val="20"/>
                <w:szCs w:val="20"/>
                <w:lang w:val="en-US" w:eastAsia="pl-PL"/>
              </w:rPr>
            </w:pPr>
            <w:r>
              <w:rPr>
                <w:rFonts w:ascii="Corbel" w:eastAsia="Times New Roman" w:hAnsi="Corbel" w:cs="Arial"/>
                <w:color w:val="000000"/>
                <w:sz w:val="20"/>
                <w:szCs w:val="20"/>
                <w:lang w:val="en-US" w:eastAsia="pl-PL"/>
              </w:rPr>
              <w:t>S</w:t>
            </w:r>
            <w:r w:rsidRPr="00E6181A">
              <w:rPr>
                <w:rFonts w:ascii="Corbel" w:eastAsia="Times New Roman" w:hAnsi="Corbel" w:cs="Arial"/>
                <w:color w:val="000000"/>
                <w:sz w:val="20"/>
                <w:szCs w:val="20"/>
                <w:lang w:val="en-US" w:eastAsia="pl-PL"/>
              </w:rPr>
              <w:t>tart-ups supported</w:t>
            </w:r>
          </w:p>
        </w:tc>
        <w:tc>
          <w:tcPr>
            <w:tcW w:w="1058" w:type="pct"/>
            <w:noWrap/>
          </w:tcPr>
          <w:p w:rsidR="00C74AAF" w:rsidRPr="00E6181A" w:rsidRDefault="00C74AAF" w:rsidP="004835EF">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585</w:t>
            </w:r>
          </w:p>
        </w:tc>
        <w:tc>
          <w:tcPr>
            <w:tcW w:w="874" w:type="pct"/>
            <w:noWrap/>
          </w:tcPr>
          <w:p w:rsidR="00C74AAF" w:rsidRPr="00E6181A" w:rsidRDefault="00C74AAF" w:rsidP="004835EF">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2611</w:t>
            </w:r>
          </w:p>
        </w:tc>
        <w:tc>
          <w:tcPr>
            <w:tcW w:w="874" w:type="pct"/>
            <w:tcBorders>
              <w:right w:val="single" w:sz="18" w:space="0" w:color="0070C0"/>
            </w:tcBorders>
            <w:noWrap/>
            <w:hideMark/>
          </w:tcPr>
          <w:p w:rsidR="00C74AAF" w:rsidRPr="00E6181A" w:rsidRDefault="00C74AAF" w:rsidP="004835EF">
            <w:pPr>
              <w:rPr>
                <w:rFonts w:ascii="Corbel" w:eastAsia="Times New Roman" w:hAnsi="Corbel" w:cs="Arial"/>
                <w:color w:val="000000"/>
                <w:sz w:val="20"/>
                <w:szCs w:val="20"/>
                <w:lang w:eastAsia="pl-PL"/>
              </w:rPr>
            </w:pPr>
            <w:proofErr w:type="spellStart"/>
            <w:r>
              <w:rPr>
                <w:rFonts w:ascii="Corbel" w:eastAsia="Times New Roman" w:hAnsi="Corbel" w:cs="Arial"/>
                <w:color w:val="000000"/>
                <w:sz w:val="20"/>
                <w:szCs w:val="20"/>
                <w:lang w:eastAsia="pl-PL"/>
              </w:rPr>
              <w:t>number</w:t>
            </w:r>
            <w:proofErr w:type="spellEnd"/>
          </w:p>
        </w:tc>
      </w:tr>
      <w:tr w:rsidR="00C74AAF" w:rsidRPr="00E6181A" w:rsidTr="00C74AAF">
        <w:trPr>
          <w:trHeight w:val="255"/>
        </w:trPr>
        <w:tc>
          <w:tcPr>
            <w:tcW w:w="2194" w:type="pct"/>
            <w:tcBorders>
              <w:left w:val="single" w:sz="18" w:space="0" w:color="0070C0"/>
            </w:tcBorders>
            <w:noWrap/>
            <w:hideMark/>
          </w:tcPr>
          <w:p w:rsidR="00C74AAF" w:rsidRPr="00E6181A" w:rsidRDefault="00C74AAF" w:rsidP="004835EF">
            <w:pPr>
              <w:rPr>
                <w:rFonts w:ascii="Corbel" w:eastAsia="Times New Roman" w:hAnsi="Corbel" w:cs="Arial"/>
                <w:color w:val="000000"/>
                <w:sz w:val="20"/>
                <w:szCs w:val="20"/>
                <w:lang w:eastAsia="pl-PL"/>
              </w:rPr>
            </w:pPr>
            <w:proofErr w:type="spellStart"/>
            <w:r w:rsidRPr="00E6181A">
              <w:rPr>
                <w:rFonts w:ascii="Corbel" w:eastAsia="Times New Roman" w:hAnsi="Corbel" w:cs="Arial"/>
                <w:color w:val="000000"/>
                <w:sz w:val="20"/>
                <w:szCs w:val="20"/>
                <w:lang w:eastAsia="pl-PL"/>
              </w:rPr>
              <w:t>Research</w:t>
            </w:r>
            <w:proofErr w:type="spellEnd"/>
            <w:r w:rsidRPr="00E6181A">
              <w:rPr>
                <w:rFonts w:ascii="Corbel" w:eastAsia="Times New Roman" w:hAnsi="Corbel" w:cs="Arial"/>
                <w:color w:val="000000"/>
                <w:sz w:val="20"/>
                <w:szCs w:val="20"/>
                <w:lang w:eastAsia="pl-PL"/>
              </w:rPr>
              <w:t xml:space="preserve"> </w:t>
            </w:r>
            <w:proofErr w:type="spellStart"/>
            <w:r w:rsidRPr="00E6181A">
              <w:rPr>
                <w:rFonts w:ascii="Corbel" w:eastAsia="Times New Roman" w:hAnsi="Corbel" w:cs="Arial"/>
                <w:color w:val="000000"/>
                <w:sz w:val="20"/>
                <w:szCs w:val="20"/>
                <w:lang w:eastAsia="pl-PL"/>
              </w:rPr>
              <w:t>jobs</w:t>
            </w:r>
            <w:proofErr w:type="spellEnd"/>
            <w:r w:rsidRPr="00E6181A">
              <w:rPr>
                <w:rFonts w:ascii="Corbel" w:eastAsia="Times New Roman" w:hAnsi="Corbel" w:cs="Arial"/>
                <w:color w:val="000000"/>
                <w:sz w:val="20"/>
                <w:szCs w:val="20"/>
                <w:lang w:eastAsia="pl-PL"/>
              </w:rPr>
              <w:t xml:space="preserve"> </w:t>
            </w:r>
            <w:proofErr w:type="spellStart"/>
            <w:r w:rsidRPr="00E6181A">
              <w:rPr>
                <w:rFonts w:ascii="Corbel" w:eastAsia="Times New Roman" w:hAnsi="Corbel" w:cs="Arial"/>
                <w:color w:val="000000"/>
                <w:sz w:val="20"/>
                <w:szCs w:val="20"/>
                <w:lang w:eastAsia="pl-PL"/>
              </w:rPr>
              <w:t>created</w:t>
            </w:r>
            <w:proofErr w:type="spellEnd"/>
          </w:p>
        </w:tc>
        <w:tc>
          <w:tcPr>
            <w:tcW w:w="1058" w:type="pct"/>
            <w:noWrap/>
          </w:tcPr>
          <w:p w:rsidR="00C74AAF" w:rsidRPr="00E6181A" w:rsidRDefault="00C74AAF" w:rsidP="004835EF">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323</w:t>
            </w:r>
          </w:p>
        </w:tc>
        <w:tc>
          <w:tcPr>
            <w:tcW w:w="874" w:type="pct"/>
            <w:noWrap/>
          </w:tcPr>
          <w:p w:rsidR="00C74AAF" w:rsidRPr="00E6181A" w:rsidRDefault="00C74AAF" w:rsidP="004835EF">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1422</w:t>
            </w:r>
          </w:p>
        </w:tc>
        <w:tc>
          <w:tcPr>
            <w:tcW w:w="874" w:type="pct"/>
            <w:tcBorders>
              <w:right w:val="single" w:sz="18" w:space="0" w:color="0070C0"/>
            </w:tcBorders>
            <w:noWrap/>
            <w:hideMark/>
          </w:tcPr>
          <w:p w:rsidR="00C74AAF" w:rsidRPr="00E6181A" w:rsidRDefault="00C74AAF" w:rsidP="004835EF">
            <w:pPr>
              <w:rPr>
                <w:rFonts w:ascii="Corbel" w:eastAsia="Times New Roman" w:hAnsi="Corbel" w:cs="Arial"/>
                <w:color w:val="000000"/>
                <w:sz w:val="20"/>
                <w:szCs w:val="20"/>
                <w:lang w:eastAsia="pl-PL"/>
              </w:rPr>
            </w:pPr>
            <w:proofErr w:type="spellStart"/>
            <w:r w:rsidRPr="00E6181A">
              <w:rPr>
                <w:rFonts w:ascii="Corbel" w:eastAsia="Times New Roman" w:hAnsi="Corbel" w:cs="Arial"/>
                <w:color w:val="000000"/>
                <w:sz w:val="20"/>
                <w:szCs w:val="20"/>
                <w:lang w:eastAsia="pl-PL"/>
              </w:rPr>
              <w:t>jobs</w:t>
            </w:r>
            <w:proofErr w:type="spellEnd"/>
          </w:p>
        </w:tc>
      </w:tr>
      <w:tr w:rsidR="00C74AAF" w:rsidRPr="00E6181A" w:rsidTr="00C74AAF">
        <w:trPr>
          <w:trHeight w:val="255"/>
        </w:trPr>
        <w:tc>
          <w:tcPr>
            <w:tcW w:w="2194" w:type="pct"/>
            <w:tcBorders>
              <w:left w:val="single" w:sz="18" w:space="0" w:color="0070C0"/>
              <w:bottom w:val="single" w:sz="18" w:space="0" w:color="0070C0"/>
            </w:tcBorders>
            <w:noWrap/>
            <w:hideMark/>
          </w:tcPr>
          <w:p w:rsidR="00C74AAF" w:rsidRPr="00E6181A" w:rsidRDefault="00C74AAF" w:rsidP="003946EE">
            <w:pPr>
              <w:rPr>
                <w:rFonts w:ascii="Corbel" w:eastAsia="Times New Roman" w:hAnsi="Corbel" w:cs="Arial"/>
                <w:color w:val="000000"/>
                <w:sz w:val="20"/>
                <w:szCs w:val="20"/>
                <w:lang w:val="en-US" w:eastAsia="pl-PL"/>
              </w:rPr>
            </w:pPr>
            <w:r>
              <w:rPr>
                <w:rFonts w:ascii="Corbel" w:eastAsia="Times New Roman" w:hAnsi="Corbel" w:cs="Arial"/>
                <w:color w:val="000000"/>
                <w:sz w:val="20"/>
                <w:szCs w:val="20"/>
                <w:lang w:val="en-US" w:eastAsia="pl-PL"/>
              </w:rPr>
              <w:t>D</w:t>
            </w:r>
            <w:r w:rsidRPr="00E6181A">
              <w:rPr>
                <w:rFonts w:ascii="Corbel" w:eastAsia="Times New Roman" w:hAnsi="Corbel" w:cs="Arial"/>
                <w:color w:val="000000"/>
                <w:sz w:val="20"/>
                <w:szCs w:val="20"/>
                <w:lang w:val="en-US" w:eastAsia="pl-PL"/>
              </w:rPr>
              <w:t>irect investment aid projects to SME</w:t>
            </w:r>
          </w:p>
        </w:tc>
        <w:tc>
          <w:tcPr>
            <w:tcW w:w="1058" w:type="pct"/>
            <w:tcBorders>
              <w:bottom w:val="single" w:sz="18" w:space="0" w:color="0070C0"/>
            </w:tcBorders>
            <w:noWrap/>
          </w:tcPr>
          <w:p w:rsidR="00C74AAF" w:rsidRPr="00E6181A" w:rsidRDefault="00C74AAF" w:rsidP="004835EF">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1312</w:t>
            </w:r>
          </w:p>
        </w:tc>
        <w:tc>
          <w:tcPr>
            <w:tcW w:w="874" w:type="pct"/>
            <w:tcBorders>
              <w:bottom w:val="single" w:sz="18" w:space="0" w:color="0070C0"/>
            </w:tcBorders>
            <w:noWrap/>
          </w:tcPr>
          <w:p w:rsidR="00C74AAF" w:rsidRPr="00E6181A" w:rsidRDefault="00C74AAF" w:rsidP="004835EF">
            <w:pPr>
              <w:jc w:val="right"/>
              <w:rPr>
                <w:rFonts w:ascii="Corbel" w:eastAsia="Times New Roman" w:hAnsi="Corbel" w:cs="Arial"/>
                <w:color w:val="000000"/>
                <w:sz w:val="20"/>
                <w:szCs w:val="20"/>
                <w:lang w:eastAsia="pl-PL"/>
              </w:rPr>
            </w:pPr>
            <w:r>
              <w:rPr>
                <w:rFonts w:ascii="Corbel" w:eastAsia="Times New Roman" w:hAnsi="Corbel" w:cs="Arial"/>
                <w:color w:val="000000"/>
                <w:sz w:val="20"/>
                <w:szCs w:val="20"/>
                <w:lang w:eastAsia="pl-PL"/>
              </w:rPr>
              <w:t>25347</w:t>
            </w:r>
          </w:p>
        </w:tc>
        <w:tc>
          <w:tcPr>
            <w:tcW w:w="874" w:type="pct"/>
            <w:tcBorders>
              <w:bottom w:val="single" w:sz="18" w:space="0" w:color="0070C0"/>
              <w:right w:val="single" w:sz="18" w:space="0" w:color="0070C0"/>
            </w:tcBorders>
            <w:noWrap/>
            <w:hideMark/>
          </w:tcPr>
          <w:p w:rsidR="00C74AAF" w:rsidRPr="00E6181A" w:rsidRDefault="00C74AAF" w:rsidP="004835EF">
            <w:pPr>
              <w:rPr>
                <w:rFonts w:ascii="Corbel" w:eastAsia="Times New Roman" w:hAnsi="Corbel" w:cs="Arial"/>
                <w:color w:val="000000"/>
                <w:sz w:val="20"/>
                <w:szCs w:val="20"/>
                <w:lang w:eastAsia="pl-PL"/>
              </w:rPr>
            </w:pPr>
            <w:proofErr w:type="spellStart"/>
            <w:r>
              <w:rPr>
                <w:rFonts w:ascii="Corbel" w:eastAsia="Times New Roman" w:hAnsi="Corbel" w:cs="Arial"/>
                <w:color w:val="000000"/>
                <w:sz w:val="20"/>
                <w:szCs w:val="20"/>
                <w:lang w:eastAsia="pl-PL"/>
              </w:rPr>
              <w:t>number</w:t>
            </w:r>
            <w:proofErr w:type="spellEnd"/>
          </w:p>
        </w:tc>
      </w:tr>
    </w:tbl>
    <w:p w:rsidR="003C750D" w:rsidRPr="00D74CFE" w:rsidRDefault="00D74CFE" w:rsidP="00E6181A">
      <w:pPr>
        <w:spacing w:after="160" w:line="240" w:lineRule="auto"/>
        <w:jc w:val="both"/>
        <w:rPr>
          <w:rFonts w:ascii="Corbel" w:eastAsia="MS Mincho" w:hAnsi="Corbel" w:cs="Times New Roman"/>
          <w:color w:val="404040"/>
          <w:sz w:val="20"/>
          <w:lang w:val="en-GB" w:eastAsia="ja-JP"/>
        </w:rPr>
      </w:pPr>
      <w:r w:rsidRPr="00D74CFE">
        <w:rPr>
          <w:rFonts w:ascii="Corbel" w:eastAsia="MS Mincho" w:hAnsi="Corbel" w:cs="Times New Roman"/>
          <w:color w:val="404040"/>
          <w:sz w:val="20"/>
          <w:lang w:val="en-GB" w:eastAsia="ja-JP"/>
        </w:rPr>
        <w:t xml:space="preserve">* </w:t>
      </w:r>
      <w:r w:rsidR="00D33E4C">
        <w:rPr>
          <w:rFonts w:ascii="Corbel" w:eastAsia="MS Mincho" w:hAnsi="Corbel" w:cs="Times New Roman"/>
          <w:color w:val="404040"/>
          <w:sz w:val="20"/>
          <w:lang w:val="en-GB" w:eastAsia="ja-JP"/>
        </w:rPr>
        <w:t>Achievements</w:t>
      </w:r>
      <w:r w:rsidRPr="00D74CFE">
        <w:rPr>
          <w:rFonts w:ascii="Corbel" w:eastAsia="MS Mincho" w:hAnsi="Corbel" w:cs="Times New Roman"/>
          <w:color w:val="404040"/>
          <w:sz w:val="20"/>
          <w:lang w:val="en-GB" w:eastAsia="ja-JP"/>
        </w:rPr>
        <w:t xml:space="preserve"> are reported either at the programme level (spanning multiple NUTS2 regions) or for</w:t>
      </w:r>
      <w:r>
        <w:rPr>
          <w:rFonts w:ascii="Corbel" w:eastAsia="MS Mincho" w:hAnsi="Corbel" w:cs="Times New Roman"/>
          <w:color w:val="404040"/>
          <w:sz w:val="20"/>
          <w:lang w:val="en-GB" w:eastAsia="ja-JP"/>
        </w:rPr>
        <w:t xml:space="preserve"> a particular NUTS2 region</w:t>
      </w:r>
      <w:r w:rsidRPr="00D74CFE">
        <w:rPr>
          <w:rFonts w:ascii="Corbel" w:eastAsia="MS Mincho" w:hAnsi="Corbel" w:cs="Times New Roman"/>
          <w:color w:val="404040"/>
          <w:sz w:val="20"/>
          <w:lang w:val="en-GB" w:eastAsia="ja-JP"/>
        </w:rPr>
        <w:t xml:space="preserve"> covered by a given Regional OP.</w:t>
      </w:r>
      <w:r w:rsidR="00D33E4C">
        <w:rPr>
          <w:rFonts w:ascii="Corbel" w:eastAsia="MS Mincho" w:hAnsi="Corbel" w:cs="Times New Roman"/>
          <w:color w:val="404040"/>
          <w:sz w:val="20"/>
          <w:lang w:val="en-GB" w:eastAsia="ja-JP"/>
        </w:rPr>
        <w:t xml:space="preserve"> Where no values were reported at the regional level, data for the programme-level was used instead</w:t>
      </w:r>
      <w:r w:rsidR="000867D9">
        <w:rPr>
          <w:rFonts w:ascii="Corbel" w:eastAsia="MS Mincho" w:hAnsi="Corbel" w:cs="Times New Roman"/>
          <w:color w:val="404040"/>
          <w:sz w:val="20"/>
          <w:lang w:val="en-GB" w:eastAsia="ja-JP"/>
        </w:rPr>
        <w:t xml:space="preserve"> (in parentheses). </w:t>
      </w:r>
      <w:r w:rsidR="00787922">
        <w:rPr>
          <w:rFonts w:ascii="Corbel" w:eastAsia="MS Mincho" w:hAnsi="Corbel" w:cs="Times New Roman"/>
          <w:color w:val="404040"/>
          <w:sz w:val="20"/>
          <w:lang w:val="en-GB" w:eastAsia="ja-JP"/>
        </w:rPr>
        <w:t>The m</w:t>
      </w:r>
      <w:r w:rsidR="000867D9">
        <w:rPr>
          <w:rFonts w:ascii="Corbel" w:eastAsia="MS Mincho" w:hAnsi="Corbel" w:cs="Times New Roman"/>
          <w:color w:val="404040"/>
          <w:sz w:val="20"/>
          <w:lang w:val="en-GB" w:eastAsia="ja-JP"/>
        </w:rPr>
        <w:t xml:space="preserve">ajority of the </w:t>
      </w:r>
      <w:r>
        <w:rPr>
          <w:rFonts w:ascii="Corbel" w:eastAsia="MS Mincho" w:hAnsi="Corbel" w:cs="Times New Roman"/>
          <w:color w:val="404040"/>
          <w:sz w:val="20"/>
          <w:lang w:val="en-GB" w:eastAsia="ja-JP"/>
        </w:rPr>
        <w:t xml:space="preserve">achievements </w:t>
      </w:r>
      <w:r w:rsidR="000867D9">
        <w:rPr>
          <w:rFonts w:ascii="Corbel" w:eastAsia="MS Mincho" w:hAnsi="Corbel" w:cs="Times New Roman"/>
          <w:color w:val="404040"/>
          <w:sz w:val="20"/>
          <w:lang w:val="en-GB" w:eastAsia="ja-JP"/>
        </w:rPr>
        <w:t xml:space="preserve">in the table above </w:t>
      </w:r>
      <w:r>
        <w:rPr>
          <w:rFonts w:ascii="Corbel" w:eastAsia="MS Mincho" w:hAnsi="Corbel" w:cs="Times New Roman"/>
          <w:color w:val="404040"/>
          <w:sz w:val="20"/>
          <w:lang w:val="en-GB" w:eastAsia="ja-JP"/>
        </w:rPr>
        <w:t>are reported for the NUTS2 regions</w:t>
      </w:r>
      <w:r w:rsidR="00DE4BCB">
        <w:rPr>
          <w:rFonts w:ascii="Corbel" w:eastAsia="MS Mincho" w:hAnsi="Corbel" w:cs="Times New Roman"/>
          <w:color w:val="404040"/>
          <w:sz w:val="20"/>
          <w:lang w:val="en-GB" w:eastAsia="ja-JP"/>
        </w:rPr>
        <w:t>, but nonetheless these values should be interpreted cautiously.</w:t>
      </w:r>
    </w:p>
    <w:p w:rsidR="003C750D" w:rsidRDefault="001F3CED" w:rsidP="00E6652E">
      <w:pPr>
        <w:jc w:val="both"/>
        <w:rPr>
          <w:rFonts w:ascii="Corbel" w:eastAsia="MS Mincho" w:hAnsi="Corbel" w:cs="Times New Roman"/>
          <w:color w:val="404040"/>
          <w:sz w:val="24"/>
          <w:szCs w:val="24"/>
          <w:lang w:val="en-GB" w:eastAsia="ja-JP"/>
        </w:rPr>
      </w:pPr>
      <w:r>
        <w:rPr>
          <w:rFonts w:ascii="Corbel" w:eastAsia="MS Mincho" w:hAnsi="Corbel" w:cs="Times New Roman"/>
          <w:color w:val="404040"/>
          <w:sz w:val="24"/>
          <w:szCs w:val="24"/>
          <w:lang w:val="en-GB" w:eastAsia="ja-JP"/>
        </w:rPr>
        <w:t xml:space="preserve">The Greek implementation system of the Structural Funds has changed significantly between the last two programming periods. In the 2007-2013 period over a third of all ERDF funds was channelled through multiregional OPs – programmes that were covering more than one NUTS2 region (e.g. </w:t>
      </w:r>
      <w:r w:rsidRPr="001F3CED">
        <w:rPr>
          <w:rFonts w:ascii="Corbel" w:eastAsia="MS Mincho" w:hAnsi="Corbel" w:cs="Times New Roman"/>
          <w:i/>
          <w:color w:val="404040"/>
          <w:sz w:val="24"/>
          <w:szCs w:val="24"/>
          <w:lang w:val="en-GB" w:eastAsia="ja-JP"/>
        </w:rPr>
        <w:t>OP Macedonia and Thrace</w:t>
      </w:r>
      <w:r>
        <w:rPr>
          <w:rFonts w:ascii="Corbel" w:eastAsia="MS Mincho" w:hAnsi="Corbel" w:cs="Times New Roman"/>
          <w:color w:val="404040"/>
          <w:sz w:val="24"/>
          <w:szCs w:val="24"/>
          <w:lang w:val="en-GB" w:eastAsia="ja-JP"/>
        </w:rPr>
        <w:t xml:space="preserve"> that included not only Central Macedonia, but also </w:t>
      </w:r>
      <w:r w:rsidRPr="001F3CED">
        <w:rPr>
          <w:rFonts w:ascii="Corbel" w:eastAsia="MS Mincho" w:hAnsi="Corbel" w:cs="Times New Roman"/>
          <w:color w:val="404040"/>
          <w:sz w:val="24"/>
          <w:szCs w:val="24"/>
          <w:lang w:val="en-GB" w:eastAsia="ja-JP"/>
        </w:rPr>
        <w:t>Western Macedonia and Eastern Macedonia &amp; Thrace</w:t>
      </w:r>
      <w:r>
        <w:rPr>
          <w:rFonts w:ascii="Corbel" w:eastAsia="MS Mincho" w:hAnsi="Corbel" w:cs="Times New Roman"/>
          <w:color w:val="404040"/>
          <w:sz w:val="24"/>
          <w:szCs w:val="24"/>
          <w:lang w:val="en-GB" w:eastAsia="ja-JP"/>
        </w:rPr>
        <w:t>). In the subsequent period, the multiregional OPs were discontinued, and more funds w</w:t>
      </w:r>
      <w:r w:rsidR="00787922">
        <w:rPr>
          <w:rFonts w:ascii="Corbel" w:eastAsia="MS Mincho" w:hAnsi="Corbel" w:cs="Times New Roman"/>
          <w:color w:val="404040"/>
          <w:sz w:val="24"/>
          <w:szCs w:val="24"/>
          <w:lang w:val="en-GB" w:eastAsia="ja-JP"/>
        </w:rPr>
        <w:t>ere</w:t>
      </w:r>
      <w:r>
        <w:rPr>
          <w:rFonts w:ascii="Corbel" w:eastAsia="MS Mincho" w:hAnsi="Corbel" w:cs="Times New Roman"/>
          <w:color w:val="404040"/>
          <w:sz w:val="24"/>
          <w:szCs w:val="24"/>
          <w:lang w:val="en-GB" w:eastAsia="ja-JP"/>
        </w:rPr>
        <w:t xml:space="preserve"> devoted to programmes </w:t>
      </w:r>
      <w:r w:rsidR="00D33E4C">
        <w:rPr>
          <w:rFonts w:ascii="Corbel" w:eastAsia="MS Mincho" w:hAnsi="Corbel" w:cs="Times New Roman"/>
          <w:color w:val="404040"/>
          <w:sz w:val="24"/>
          <w:szCs w:val="24"/>
          <w:lang w:val="en-GB" w:eastAsia="ja-JP"/>
        </w:rPr>
        <w:t xml:space="preserve">that were </w:t>
      </w:r>
      <w:r>
        <w:rPr>
          <w:rFonts w:ascii="Corbel" w:eastAsia="MS Mincho" w:hAnsi="Corbel" w:cs="Times New Roman"/>
          <w:color w:val="404040"/>
          <w:sz w:val="24"/>
          <w:szCs w:val="24"/>
          <w:lang w:val="en-GB" w:eastAsia="ja-JP"/>
        </w:rPr>
        <w:t>covering a single NUTS2 region. Thus, the allocations to Regional OPs can</w:t>
      </w:r>
      <w:r w:rsidR="00787922">
        <w:rPr>
          <w:rFonts w:ascii="Corbel" w:eastAsia="MS Mincho" w:hAnsi="Corbel" w:cs="Times New Roman"/>
          <w:color w:val="404040"/>
          <w:sz w:val="24"/>
          <w:szCs w:val="24"/>
          <w:lang w:val="en-GB" w:eastAsia="ja-JP"/>
        </w:rPr>
        <w:t>not</w:t>
      </w:r>
      <w:r>
        <w:rPr>
          <w:rFonts w:ascii="Corbel" w:eastAsia="MS Mincho" w:hAnsi="Corbel" w:cs="Times New Roman"/>
          <w:color w:val="404040"/>
          <w:sz w:val="24"/>
          <w:szCs w:val="24"/>
          <w:lang w:val="en-GB" w:eastAsia="ja-JP"/>
        </w:rPr>
        <w:t xml:space="preserve"> be compared across different programming periods.</w:t>
      </w:r>
    </w:p>
    <w:p w:rsidR="003C750D" w:rsidRPr="000867D9" w:rsidRDefault="00C74AAF" w:rsidP="000867D9">
      <w:pPr>
        <w:jc w:val="both"/>
        <w:rPr>
          <w:rFonts w:ascii="Corbel" w:eastAsia="MS Mincho" w:hAnsi="Corbel" w:cs="Times New Roman"/>
          <w:color w:val="404040"/>
          <w:sz w:val="24"/>
          <w:szCs w:val="24"/>
          <w:lang w:val="en-GB" w:eastAsia="ja-JP"/>
        </w:rPr>
      </w:pPr>
      <w:r>
        <w:rPr>
          <w:rFonts w:ascii="Corbel" w:eastAsia="MS Mincho" w:hAnsi="Corbel" w:cs="Times New Roman"/>
          <w:color w:val="404040"/>
          <w:sz w:val="24"/>
          <w:szCs w:val="24"/>
          <w:lang w:val="en-GB" w:eastAsia="ja-JP"/>
        </w:rPr>
        <w:t>Analysis of the</w:t>
      </w:r>
      <w:r w:rsidR="00D33E4C">
        <w:rPr>
          <w:rFonts w:ascii="Corbel" w:eastAsia="MS Mincho" w:hAnsi="Corbel" w:cs="Times New Roman"/>
          <w:color w:val="404040"/>
          <w:sz w:val="24"/>
          <w:szCs w:val="24"/>
          <w:lang w:val="en-GB" w:eastAsia="ja-JP"/>
        </w:rPr>
        <w:t xml:space="preserve"> reported achievements </w:t>
      </w:r>
      <w:r>
        <w:rPr>
          <w:rFonts w:ascii="Corbel" w:eastAsia="MS Mincho" w:hAnsi="Corbel" w:cs="Times New Roman"/>
          <w:color w:val="404040"/>
          <w:sz w:val="24"/>
          <w:szCs w:val="24"/>
          <w:lang w:val="en-GB" w:eastAsia="ja-JP"/>
        </w:rPr>
        <w:t>shows</w:t>
      </w:r>
      <w:r w:rsidR="00D33E4C">
        <w:rPr>
          <w:rFonts w:ascii="Corbel" w:eastAsia="MS Mincho" w:hAnsi="Corbel" w:cs="Times New Roman"/>
          <w:color w:val="404040"/>
          <w:sz w:val="24"/>
          <w:szCs w:val="24"/>
          <w:lang w:val="en-GB" w:eastAsia="ja-JP"/>
        </w:rPr>
        <w:t xml:space="preserve"> that </w:t>
      </w:r>
      <w:r w:rsidR="0019624E">
        <w:rPr>
          <w:rFonts w:ascii="Corbel" w:eastAsia="MS Mincho" w:hAnsi="Corbel" w:cs="Times New Roman"/>
          <w:color w:val="404040"/>
          <w:sz w:val="24"/>
          <w:szCs w:val="24"/>
          <w:lang w:val="en-GB" w:eastAsia="ja-JP"/>
        </w:rPr>
        <w:t xml:space="preserve">only about 6% of jobs created as a result of Cohesion Policy in Greece was attributed to the OP Macedonia and Thrace. On the other hand, Central Macedonia seems </w:t>
      </w:r>
      <w:r w:rsidR="00D33E4C">
        <w:rPr>
          <w:rFonts w:ascii="Corbel" w:eastAsia="MS Mincho" w:hAnsi="Corbel" w:cs="Times New Roman"/>
          <w:color w:val="404040"/>
          <w:sz w:val="24"/>
          <w:szCs w:val="24"/>
          <w:lang w:val="en-GB" w:eastAsia="ja-JP"/>
        </w:rPr>
        <w:t xml:space="preserve">to </w:t>
      </w:r>
      <w:r w:rsidR="0019624E">
        <w:rPr>
          <w:rFonts w:ascii="Corbel" w:eastAsia="MS Mincho" w:hAnsi="Corbel" w:cs="Times New Roman"/>
          <w:color w:val="404040"/>
          <w:sz w:val="24"/>
          <w:szCs w:val="24"/>
          <w:lang w:val="en-GB" w:eastAsia="ja-JP"/>
        </w:rPr>
        <w:t>prioritise</w:t>
      </w:r>
      <w:r w:rsidR="00D33E4C">
        <w:rPr>
          <w:rFonts w:ascii="Corbel" w:eastAsia="MS Mincho" w:hAnsi="Corbel" w:cs="Times New Roman"/>
          <w:color w:val="404040"/>
          <w:sz w:val="24"/>
          <w:szCs w:val="24"/>
          <w:lang w:val="en-GB" w:eastAsia="ja-JP"/>
        </w:rPr>
        <w:t xml:space="preserve"> supporting sta</w:t>
      </w:r>
      <w:r w:rsidR="0019624E">
        <w:rPr>
          <w:rFonts w:ascii="Corbel" w:eastAsia="MS Mincho" w:hAnsi="Corbel" w:cs="Times New Roman"/>
          <w:color w:val="404040"/>
          <w:sz w:val="24"/>
          <w:szCs w:val="24"/>
          <w:lang w:val="en-GB" w:eastAsia="ja-JP"/>
        </w:rPr>
        <w:t>r</w:t>
      </w:r>
      <w:r w:rsidR="00D33E4C">
        <w:rPr>
          <w:rFonts w:ascii="Corbel" w:eastAsia="MS Mincho" w:hAnsi="Corbel" w:cs="Times New Roman"/>
          <w:color w:val="404040"/>
          <w:sz w:val="24"/>
          <w:szCs w:val="24"/>
          <w:lang w:val="en-GB" w:eastAsia="ja-JP"/>
        </w:rPr>
        <w:t>t-up</w:t>
      </w:r>
      <w:r w:rsidR="000867D9">
        <w:rPr>
          <w:rFonts w:ascii="Corbel" w:eastAsia="MS Mincho" w:hAnsi="Corbel" w:cs="Times New Roman"/>
          <w:color w:val="404040"/>
          <w:sz w:val="24"/>
          <w:szCs w:val="24"/>
          <w:lang w:val="en-GB" w:eastAsia="ja-JP"/>
        </w:rPr>
        <w:t>s and creation of research jobs – the reported regional values constitute over 20% of a respective achievement at the national level.</w:t>
      </w:r>
    </w:p>
    <w:sectPr w:rsidR="003C750D" w:rsidRPr="000867D9" w:rsidSect="003C750D">
      <w:headerReference w:type="default" r:id="rId8"/>
      <w:footerReference w:type="default" r:id="rId9"/>
      <w:pgSz w:w="11906" w:h="16838"/>
      <w:pgMar w:top="1843" w:right="1080" w:bottom="1843"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2AB" w:rsidRDefault="006052AB" w:rsidP="008070D0">
      <w:pPr>
        <w:spacing w:after="0" w:line="240" w:lineRule="auto"/>
      </w:pPr>
      <w:r>
        <w:separator/>
      </w:r>
    </w:p>
  </w:endnote>
  <w:endnote w:type="continuationSeparator" w:id="0">
    <w:p w:rsidR="006052AB" w:rsidRDefault="006052AB" w:rsidP="00807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Corbel">
    <w:panose1 w:val="020B0503020204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0D0" w:rsidRPr="008070D0" w:rsidRDefault="008070D0" w:rsidP="008070D0">
    <w:pPr>
      <w:ind w:left="1134"/>
      <w:rPr>
        <w:rFonts w:cs="Arial"/>
        <w:sz w:val="18"/>
        <w:szCs w:val="18"/>
        <w:lang w:val="en-US"/>
      </w:rPr>
    </w:pPr>
    <w:r>
      <w:rPr>
        <w:noProof/>
        <w:lang w:eastAsia="pl-PL"/>
      </w:rPr>
      <w:drawing>
        <wp:anchor distT="0" distB="0" distL="114300" distR="114300" simplePos="0" relativeHeight="251661312" behindDoc="1" locked="0" layoutInCell="1" allowOverlap="1">
          <wp:simplePos x="0" y="0"/>
          <wp:positionH relativeFrom="column">
            <wp:posOffset>-108610</wp:posOffset>
          </wp:positionH>
          <wp:positionV relativeFrom="paragraph">
            <wp:posOffset>6828</wp:posOffset>
          </wp:positionV>
          <wp:extent cx="577702" cy="380010"/>
          <wp:effectExtent l="19050" t="0" r="0" b="0"/>
          <wp:wrapNone/>
          <wp:docPr id="7" name="Image 3" descr="Macintosh HD:Users:Sara:Dropbox:DOCS w Reynald:COHESIFY:flag_yellow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Macintosh HD:Users:Sara:Dropbox:DOCS w Reynald:COHESIFY:flag_yellow_hig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702" cy="380010"/>
                  </a:xfrm>
                  <a:prstGeom prst="rect">
                    <a:avLst/>
                  </a:prstGeom>
                  <a:noFill/>
                  <a:ln>
                    <a:noFill/>
                  </a:ln>
                </pic:spPr>
              </pic:pic>
            </a:graphicData>
          </a:graphic>
        </wp:anchor>
      </w:drawing>
    </w:r>
    <w:r>
      <w:rPr>
        <w:noProof/>
        <w:lang w:eastAsia="pl-PL"/>
      </w:rPr>
      <w:drawing>
        <wp:anchor distT="0" distB="0" distL="114300" distR="114300" simplePos="0" relativeHeight="251659264" behindDoc="1" locked="0" layoutInCell="1" allowOverlap="1">
          <wp:simplePos x="0" y="0"/>
          <wp:positionH relativeFrom="column">
            <wp:posOffset>-1974850</wp:posOffset>
          </wp:positionH>
          <wp:positionV relativeFrom="paragraph">
            <wp:posOffset>815340</wp:posOffset>
          </wp:positionV>
          <wp:extent cx="8604250" cy="342900"/>
          <wp:effectExtent l="0" t="0" r="6350" b="0"/>
          <wp:wrapNone/>
          <wp:docPr id="9" name="Picture 5" descr="Macintosh HD:Users:SARA:Dropbox:DOCS w/ Reynald:COHESIFY:footer 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SARA:Dropbox:DOCS w/ Reynald:COHESIFY:footer 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04250" cy="342900"/>
                  </a:xfrm>
                  <a:prstGeom prst="rect">
                    <a:avLst/>
                  </a:prstGeom>
                  <a:noFill/>
                  <a:ln>
                    <a:noFill/>
                  </a:ln>
                </pic:spPr>
              </pic:pic>
            </a:graphicData>
          </a:graphic>
        </wp:anchor>
      </w:drawing>
    </w:r>
    <w:r w:rsidRPr="008070D0">
      <w:rPr>
        <w:sz w:val="18"/>
        <w:szCs w:val="18"/>
        <w:lang w:val="en-US"/>
      </w:rPr>
      <w:t xml:space="preserve">The COHESIFY project (February 2016-April 2018) has received funding from the European Union’s Horizon 2020 research and innovation </w:t>
    </w:r>
    <w:proofErr w:type="spellStart"/>
    <w:r w:rsidRPr="008070D0">
      <w:rPr>
        <w:sz w:val="18"/>
        <w:szCs w:val="18"/>
        <w:lang w:val="en-US"/>
      </w:rPr>
      <w:t>programme</w:t>
    </w:r>
    <w:proofErr w:type="spellEnd"/>
    <w:r w:rsidRPr="008070D0">
      <w:rPr>
        <w:sz w:val="18"/>
        <w:szCs w:val="18"/>
        <w:lang w:val="en-US"/>
      </w:rPr>
      <w:t xml:space="preserve"> under grant agreement No. 693127</w:t>
    </w:r>
  </w:p>
  <w:p w:rsidR="008070D0" w:rsidRPr="008070D0" w:rsidRDefault="008070D0">
    <w:pPr>
      <w:pStyle w:val="Stopk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2AB" w:rsidRDefault="006052AB" w:rsidP="008070D0">
      <w:pPr>
        <w:spacing w:after="0" w:line="240" w:lineRule="auto"/>
      </w:pPr>
      <w:r>
        <w:separator/>
      </w:r>
    </w:p>
  </w:footnote>
  <w:footnote w:type="continuationSeparator" w:id="0">
    <w:p w:rsidR="006052AB" w:rsidRDefault="006052AB" w:rsidP="008070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0D0" w:rsidRDefault="00077807">
    <w:pPr>
      <w:pStyle w:val="Nagwek"/>
    </w:pPr>
    <w:r>
      <w:rPr>
        <w:noProof/>
        <w:lang w:eastAsia="pl-PL"/>
      </w:rPr>
      <w:drawing>
        <wp:anchor distT="0" distB="0" distL="114300" distR="114300" simplePos="0" relativeHeight="251663360" behindDoc="0" locked="0" layoutInCell="1" allowOverlap="1" wp14:anchorId="005C6654" wp14:editId="73CE464E">
          <wp:simplePos x="0" y="0"/>
          <wp:positionH relativeFrom="column">
            <wp:posOffset>4342846</wp:posOffset>
          </wp:positionH>
          <wp:positionV relativeFrom="paragraph">
            <wp:posOffset>-328630</wp:posOffset>
          </wp:positionV>
          <wp:extent cx="2295525" cy="1021509"/>
          <wp:effectExtent l="0" t="0" r="0" b="0"/>
          <wp:wrapNone/>
          <wp:docPr id="1" name="Obraz 1" descr="C:\Users\Gaba\AppData\Local\Temp\Cohesify-logo-horizontal-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a\AppData\Local\Temp\Cohesify-logo-horizontal-w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102150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am Ploszaj">
    <w15:presenceInfo w15:providerId="Windows Live" w15:userId="068e2a2a156054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srQ0NTCwNDY1MTM1N7ZQ0lEKTi0uzszPAykwqgUA/uUedywAAAA="/>
  </w:docVars>
  <w:rsids>
    <w:rsidRoot w:val="00A56F2A"/>
    <w:rsid w:val="00020410"/>
    <w:rsid w:val="0003713C"/>
    <w:rsid w:val="00041C48"/>
    <w:rsid w:val="00077807"/>
    <w:rsid w:val="000867D9"/>
    <w:rsid w:val="00094052"/>
    <w:rsid w:val="000E6E42"/>
    <w:rsid w:val="00127195"/>
    <w:rsid w:val="0019624E"/>
    <w:rsid w:val="001F3CED"/>
    <w:rsid w:val="001F7F74"/>
    <w:rsid w:val="00211151"/>
    <w:rsid w:val="00221148"/>
    <w:rsid w:val="00227060"/>
    <w:rsid w:val="00251FE3"/>
    <w:rsid w:val="00262AC8"/>
    <w:rsid w:val="00294768"/>
    <w:rsid w:val="002D268A"/>
    <w:rsid w:val="00303CBA"/>
    <w:rsid w:val="00366A75"/>
    <w:rsid w:val="00386949"/>
    <w:rsid w:val="003946EE"/>
    <w:rsid w:val="003B331E"/>
    <w:rsid w:val="003C750D"/>
    <w:rsid w:val="00415BA6"/>
    <w:rsid w:val="00451674"/>
    <w:rsid w:val="004766EA"/>
    <w:rsid w:val="00496634"/>
    <w:rsid w:val="004A7819"/>
    <w:rsid w:val="004B7124"/>
    <w:rsid w:val="006052AB"/>
    <w:rsid w:val="00680019"/>
    <w:rsid w:val="006E4D55"/>
    <w:rsid w:val="006E78F8"/>
    <w:rsid w:val="006E7FD8"/>
    <w:rsid w:val="00787922"/>
    <w:rsid w:val="00795B0F"/>
    <w:rsid w:val="008070D0"/>
    <w:rsid w:val="008451A0"/>
    <w:rsid w:val="008578A9"/>
    <w:rsid w:val="008A2D04"/>
    <w:rsid w:val="008D566E"/>
    <w:rsid w:val="009B0D0C"/>
    <w:rsid w:val="009F5B5E"/>
    <w:rsid w:val="00A30DA6"/>
    <w:rsid w:val="00A56F2A"/>
    <w:rsid w:val="00AA072C"/>
    <w:rsid w:val="00AD5513"/>
    <w:rsid w:val="00BA7E8E"/>
    <w:rsid w:val="00C27C6F"/>
    <w:rsid w:val="00C74AAF"/>
    <w:rsid w:val="00CA0E0A"/>
    <w:rsid w:val="00D05A3A"/>
    <w:rsid w:val="00D066FD"/>
    <w:rsid w:val="00D33E4C"/>
    <w:rsid w:val="00D74CFE"/>
    <w:rsid w:val="00DE4BCB"/>
    <w:rsid w:val="00E6181A"/>
    <w:rsid w:val="00E64D4C"/>
    <w:rsid w:val="00E6652E"/>
    <w:rsid w:val="00E95825"/>
    <w:rsid w:val="00F0456E"/>
    <w:rsid w:val="00F269AC"/>
    <w:rsid w:val="00F57C20"/>
    <w:rsid w:val="00F85B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78F8"/>
  </w:style>
  <w:style w:type="paragraph" w:styleId="Nagwek1">
    <w:name w:val="heading 1"/>
    <w:basedOn w:val="Normalny"/>
    <w:next w:val="Normalny"/>
    <w:link w:val="Nagwek1Znak"/>
    <w:uiPriority w:val="9"/>
    <w:qFormat/>
    <w:rsid w:val="00E618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56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vl1Heading">
    <w:name w:val="lvl1 Heading"/>
    <w:basedOn w:val="Nagwek1"/>
    <w:next w:val="Normalny"/>
    <w:autoRedefine/>
    <w:qFormat/>
    <w:rsid w:val="00E6181A"/>
    <w:pPr>
      <w:spacing w:line="240" w:lineRule="auto"/>
      <w:ind w:left="360" w:hanging="360"/>
      <w:jc w:val="both"/>
    </w:pPr>
    <w:rPr>
      <w:rFonts w:ascii="Century Gothic" w:eastAsia="MS Gothic" w:hAnsi="Century Gothic" w:cs="Arial"/>
      <w:bCs w:val="0"/>
      <w:noProof/>
      <w:color w:val="455783"/>
      <w:kern w:val="24"/>
      <w:szCs w:val="72"/>
      <w:lang w:val="en-GB" w:eastAsia="ja-JP"/>
    </w:rPr>
  </w:style>
  <w:style w:type="character" w:customStyle="1" w:styleId="Nagwek1Znak">
    <w:name w:val="Nagłówek 1 Znak"/>
    <w:basedOn w:val="Domylnaczcionkaakapitu"/>
    <w:link w:val="Nagwek1"/>
    <w:uiPriority w:val="9"/>
    <w:rsid w:val="00E6181A"/>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unhideWhenUsed/>
    <w:rsid w:val="008070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70D0"/>
  </w:style>
  <w:style w:type="paragraph" w:styleId="Stopka">
    <w:name w:val="footer"/>
    <w:basedOn w:val="Normalny"/>
    <w:link w:val="StopkaZnak"/>
    <w:uiPriority w:val="99"/>
    <w:unhideWhenUsed/>
    <w:rsid w:val="008070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70D0"/>
  </w:style>
  <w:style w:type="paragraph" w:styleId="Bezodstpw">
    <w:name w:val="No Spacing"/>
    <w:uiPriority w:val="1"/>
    <w:qFormat/>
    <w:rsid w:val="003C750D"/>
    <w:pPr>
      <w:spacing w:after="0" w:line="240" w:lineRule="auto"/>
    </w:pPr>
  </w:style>
  <w:style w:type="paragraph" w:styleId="Tekstdymka">
    <w:name w:val="Balloon Text"/>
    <w:basedOn w:val="Normalny"/>
    <w:link w:val="TekstdymkaZnak"/>
    <w:uiPriority w:val="99"/>
    <w:semiHidden/>
    <w:unhideWhenUsed/>
    <w:rsid w:val="0022114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21148"/>
    <w:rPr>
      <w:rFonts w:ascii="Segoe UI" w:hAnsi="Segoe UI" w:cs="Segoe UI"/>
      <w:sz w:val="18"/>
      <w:szCs w:val="18"/>
    </w:rPr>
  </w:style>
  <w:style w:type="paragraph" w:styleId="Akapitzlist">
    <w:name w:val="List Paragraph"/>
    <w:basedOn w:val="Normalny"/>
    <w:uiPriority w:val="34"/>
    <w:qFormat/>
    <w:rsid w:val="00D74C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2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B872E7-0EEF-4372-86AF-6B9538236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660</Words>
  <Characters>3962</Characters>
  <Application>Microsoft Office Word</Application>
  <DocSecurity>0</DocSecurity>
  <Lines>33</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Galdámez Muñoz</dc:creator>
  <cp:lastModifiedBy>Gabriela Galdámez Muñoz</cp:lastModifiedBy>
  <cp:revision>4</cp:revision>
  <dcterms:created xsi:type="dcterms:W3CDTF">2017-02-22T13:42:00Z</dcterms:created>
  <dcterms:modified xsi:type="dcterms:W3CDTF">2017-02-27T21:56:00Z</dcterms:modified>
</cp:coreProperties>
</file>