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A56F2A" w:rsidRPr="00E6181A">
        <w:t xml:space="preserve">ase study regions in </w:t>
      </w:r>
      <w:r w:rsidR="00AA24D5">
        <w:t>Germany</w:t>
      </w:r>
    </w:p>
    <w:p w:rsidR="00A56F2A" w:rsidRDefault="00F26C34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20"/>
        <w:gridCol w:w="1969"/>
        <w:gridCol w:w="1551"/>
        <w:gridCol w:w="1390"/>
        <w:gridCol w:w="1386"/>
      </w:tblGrid>
      <w:tr w:rsidR="00FD3284" w:rsidRPr="00E6181A" w:rsidTr="00FD3284">
        <w:trPr>
          <w:trHeight w:val="255"/>
        </w:trPr>
        <w:tc>
          <w:tcPr>
            <w:tcW w:w="1869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FD3284" w:rsidRPr="00E6181A" w:rsidRDefault="00FD3284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Basic info</w:t>
            </w:r>
          </w:p>
        </w:tc>
        <w:tc>
          <w:tcPr>
            <w:tcW w:w="819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FD3284" w:rsidRPr="00FD3284" w:rsidRDefault="00FD3284" w:rsidP="00FD3284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Baden-Württemberg</w:t>
            </w:r>
          </w:p>
        </w:tc>
        <w:tc>
          <w:tcPr>
            <w:tcW w:w="826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FD3284" w:rsidRPr="00FD3284" w:rsidRDefault="00FD3284" w:rsidP="00FD3284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Thüringen</w:t>
            </w:r>
          </w:p>
        </w:tc>
        <w:tc>
          <w:tcPr>
            <w:tcW w:w="744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FD3284" w:rsidRPr="00FD3284" w:rsidRDefault="00FD3284" w:rsidP="00FD3284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Germany</w:t>
            </w:r>
          </w:p>
        </w:tc>
        <w:tc>
          <w:tcPr>
            <w:tcW w:w="742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FD3284" w:rsidRPr="00E6181A" w:rsidRDefault="00FD3284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Unit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Population [2008]</w:t>
            </w:r>
          </w:p>
        </w:tc>
        <w:tc>
          <w:tcPr>
            <w:tcW w:w="819" w:type="pct"/>
            <w:tcBorders>
              <w:top w:val="single" w:sz="18" w:space="0" w:color="00B050"/>
            </w:tcBorders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10749.8</w:t>
            </w:r>
          </w:p>
        </w:tc>
        <w:tc>
          <w:tcPr>
            <w:tcW w:w="826" w:type="pct"/>
            <w:tcBorders>
              <w:top w:val="single" w:sz="18" w:space="0" w:color="00B050"/>
            </w:tcBorders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2289.2</w:t>
            </w:r>
          </w:p>
        </w:tc>
        <w:tc>
          <w:tcPr>
            <w:tcW w:w="744" w:type="pct"/>
            <w:tcBorders>
              <w:top w:val="single" w:sz="18" w:space="0" w:color="00B050"/>
            </w:tcBorders>
            <w:noWrap/>
          </w:tcPr>
          <w:p w:rsidR="00A56F2A" w:rsidRPr="00E6181A" w:rsidRDefault="00FD3284" w:rsidP="00FD3284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82217.8</w:t>
            </w:r>
          </w:p>
        </w:tc>
        <w:tc>
          <w:tcPr>
            <w:tcW w:w="742" w:type="pct"/>
            <w:tcBorders>
              <w:top w:val="single" w:sz="18" w:space="0" w:color="00B050"/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GDP [2008]</w:t>
            </w:r>
          </w:p>
        </w:tc>
        <w:tc>
          <w:tcPr>
            <w:tcW w:w="819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380876</w:t>
            </w:r>
          </w:p>
        </w:tc>
        <w:tc>
          <w:tcPr>
            <w:tcW w:w="826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47468</w:t>
            </w:r>
          </w:p>
        </w:tc>
        <w:tc>
          <w:tcPr>
            <w:tcW w:w="744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2561740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[2014]</w:t>
            </w:r>
          </w:p>
        </w:tc>
        <w:tc>
          <w:tcPr>
            <w:tcW w:w="819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10631.3</w:t>
            </w:r>
          </w:p>
        </w:tc>
        <w:tc>
          <w:tcPr>
            <w:tcW w:w="826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2160.8</w:t>
            </w:r>
          </w:p>
        </w:tc>
        <w:tc>
          <w:tcPr>
            <w:tcW w:w="744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80767.5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GDP [2014]</w:t>
            </w:r>
          </w:p>
        </w:tc>
        <w:tc>
          <w:tcPr>
            <w:tcW w:w="819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440057</w:t>
            </w:r>
          </w:p>
        </w:tc>
        <w:tc>
          <w:tcPr>
            <w:tcW w:w="826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54549</w:t>
            </w:r>
          </w:p>
        </w:tc>
        <w:tc>
          <w:tcPr>
            <w:tcW w:w="744" w:type="pct"/>
            <w:noWrap/>
          </w:tcPr>
          <w:p w:rsidR="00A56F2A" w:rsidRPr="00E6181A" w:rsidRDefault="00FD32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2915650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BA7E8E" w:rsidRPr="00A631B5" w:rsidTr="0003713C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  <w:noWrap/>
            <w:hideMark/>
          </w:tcPr>
          <w:p w:rsidR="00BA7E8E" w:rsidRPr="00A631B5" w:rsidRDefault="00EF46BC" w:rsidP="00EF46BC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val="en-US" w:eastAsia="pl-PL"/>
              </w:rPr>
              <w:t>Total allocation</w:t>
            </w:r>
            <w:bookmarkStart w:id="0" w:name="_GoBack"/>
            <w:bookmarkEnd w:id="0"/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llocation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ERDF+CF 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[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2000-2006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19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102.8</w:t>
            </w:r>
          </w:p>
        </w:tc>
        <w:tc>
          <w:tcPr>
            <w:tcW w:w="826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1872.6</w:t>
            </w:r>
          </w:p>
        </w:tc>
        <w:tc>
          <w:tcPr>
            <w:tcW w:w="744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15336.1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451674" w:rsidRPr="00E6181A" w:rsidTr="00571C5F">
        <w:trPr>
          <w:trHeight w:val="201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llocation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ERDF+CF 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2007-2013</w:t>
            </w:r>
          </w:p>
        </w:tc>
        <w:tc>
          <w:tcPr>
            <w:tcW w:w="819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199.6</w:t>
            </w:r>
          </w:p>
        </w:tc>
        <w:tc>
          <w:tcPr>
            <w:tcW w:w="826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1904.3</w:t>
            </w:r>
          </w:p>
        </w:tc>
        <w:tc>
          <w:tcPr>
            <w:tcW w:w="744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15913.7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F85BAD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  <w:r w:rsidR="00AD5513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period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2007-2013 to </w:t>
            </w:r>
            <w:r w:rsidR="00AD5513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2000-2006]</w:t>
            </w:r>
          </w:p>
        </w:tc>
        <w:tc>
          <w:tcPr>
            <w:tcW w:w="819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1.94</w:t>
            </w:r>
          </w:p>
        </w:tc>
        <w:tc>
          <w:tcPr>
            <w:tcW w:w="826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1.02</w:t>
            </w:r>
          </w:p>
        </w:tc>
        <w:tc>
          <w:tcPr>
            <w:tcW w:w="744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1.04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</w:p>
        </w:tc>
      </w:tr>
      <w:tr w:rsidR="00BA7E8E" w:rsidRPr="00E6181A" w:rsidTr="0003713C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  <w:noWrap/>
            <w:hideMark/>
          </w:tcPr>
          <w:p w:rsidR="00BA7E8E" w:rsidRPr="00E6181A" w:rsidRDefault="00BA7E8E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eastAsia="pl-PL"/>
              </w:rPr>
              <w:t>rates</w:t>
            </w:r>
            <w:proofErr w:type="spellEnd"/>
            <w:r w:rsidR="00F26C34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bsorption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rate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2000-2006</w:t>
            </w:r>
            <w:r w:rsidR="00F26C34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="00F26C34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final</w:t>
            </w:r>
            <w:proofErr w:type="spellEnd"/>
            <w:r w:rsidR="00F26C34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19" w:type="pct"/>
            <w:noWrap/>
          </w:tcPr>
          <w:p w:rsidR="00A56F2A" w:rsidRPr="00E6181A" w:rsidRDefault="006A6A80" w:rsidP="00BA7E8E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98.4</w:t>
            </w:r>
          </w:p>
        </w:tc>
        <w:tc>
          <w:tcPr>
            <w:tcW w:w="826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98.4</w:t>
            </w:r>
          </w:p>
        </w:tc>
        <w:tc>
          <w:tcPr>
            <w:tcW w:w="744" w:type="pct"/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98.4</w:t>
            </w:r>
          </w:p>
        </w:tc>
        <w:tc>
          <w:tcPr>
            <w:tcW w:w="742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per cent</w:t>
            </w:r>
          </w:p>
        </w:tc>
      </w:tr>
      <w:tr w:rsidR="00451674" w:rsidRPr="00E6181A" w:rsidTr="00571C5F">
        <w:trPr>
          <w:trHeight w:val="255"/>
        </w:trPr>
        <w:tc>
          <w:tcPr>
            <w:tcW w:w="1869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A56F2A" w:rsidRPr="00E6181A" w:rsidRDefault="00127195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bsorption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rate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2007-2013 [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in 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2014]</w:t>
            </w:r>
          </w:p>
        </w:tc>
        <w:tc>
          <w:tcPr>
            <w:tcW w:w="819" w:type="pct"/>
            <w:tcBorders>
              <w:bottom w:val="single" w:sz="18" w:space="0" w:color="00B050"/>
            </w:tcBorders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76.4</w:t>
            </w:r>
          </w:p>
        </w:tc>
        <w:tc>
          <w:tcPr>
            <w:tcW w:w="826" w:type="pct"/>
            <w:tcBorders>
              <w:bottom w:val="single" w:sz="18" w:space="0" w:color="00B050"/>
            </w:tcBorders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89.0</w:t>
            </w:r>
          </w:p>
        </w:tc>
        <w:tc>
          <w:tcPr>
            <w:tcW w:w="744" w:type="pct"/>
            <w:tcBorders>
              <w:bottom w:val="single" w:sz="18" w:space="0" w:color="00B050"/>
            </w:tcBorders>
            <w:noWrap/>
          </w:tcPr>
          <w:p w:rsidR="00A56F2A" w:rsidRPr="00E6181A" w:rsidRDefault="006A6A80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82.3</w:t>
            </w:r>
          </w:p>
        </w:tc>
        <w:tc>
          <w:tcPr>
            <w:tcW w:w="742" w:type="pct"/>
            <w:tcBorders>
              <w:bottom w:val="single" w:sz="18" w:space="0" w:color="00B050"/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per cent</w:t>
            </w:r>
          </w:p>
        </w:tc>
      </w:tr>
    </w:tbl>
    <w:p w:rsidR="00571C5F" w:rsidRDefault="00571C5F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766649" w:rsidRDefault="00766649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total allocations across case study regions differ considerably in both programming periods, due to their </w:t>
      </w:r>
      <w:r w:rsidR="005903F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varying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eligibility for funding.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was an Objective 1/Convergence region, thus receiving much higher allocations than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wealthier region of </w:t>
      </w:r>
      <w:r w:rsidR="00F26C34" w:rsidRP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Baden-Württemberg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(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B-W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)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The gap has decreased in the 2007-2013 programming period, but still, in per capita terms,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got approx. 45 times more funds than B-W, and 4.5 times more than the national average. </w:t>
      </w:r>
      <w:r w:rsidR="0094672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Analysis of t</w:t>
      </w:r>
      <w:r w:rsidR="005903F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he absorption rate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for the 2007-2013 period show</w:t>
      </w:r>
      <w:r w:rsidR="005903F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 relatively good performance of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, </w:t>
      </w:r>
      <w:r w:rsidR="005903F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exceeding </w:t>
      </w:r>
      <w:r w:rsidR="008379F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national average</w:t>
      </w:r>
      <w:r w:rsidR="005903F7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by 7 pp., while B-W notes 6 pp. less than the average.  </w:t>
      </w:r>
    </w:p>
    <w:p w:rsidR="002A3DCE" w:rsidRPr="009B0D0C" w:rsidRDefault="002A3DC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82"/>
        <w:gridCol w:w="1416"/>
        <w:gridCol w:w="1134"/>
        <w:gridCol w:w="1184"/>
      </w:tblGrid>
      <w:tr w:rsidR="00FD3284" w:rsidRPr="002A3DCE" w:rsidTr="00FD3284">
        <w:trPr>
          <w:trHeight w:val="255"/>
        </w:trPr>
        <w:tc>
          <w:tcPr>
            <w:tcW w:w="311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FD3284" w:rsidRPr="009B0D0C" w:rsidRDefault="00FD3284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Thematic structure</w:t>
            </w:r>
            <w:r w:rsidR="00A631B5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[NUTS-1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, 2007-13, ERDF+CF]</w:t>
            </w:r>
          </w:p>
        </w:tc>
        <w:tc>
          <w:tcPr>
            <w:tcW w:w="714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Baden-Württemberg</w:t>
            </w:r>
          </w:p>
        </w:tc>
        <w:tc>
          <w:tcPr>
            <w:tcW w:w="572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Thüringen</w:t>
            </w:r>
          </w:p>
        </w:tc>
        <w:tc>
          <w:tcPr>
            <w:tcW w:w="597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Germany</w:t>
            </w:r>
          </w:p>
        </w:tc>
      </w:tr>
      <w:tr w:rsidR="0003713C" w:rsidRPr="002A3DCE" w:rsidTr="00E6652E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  <w:noWrap/>
            <w:hideMark/>
          </w:tcPr>
          <w:p w:rsidR="0003713C" w:rsidRPr="00A346B5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A346B5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 w:eastAsia="pl-PL"/>
              </w:rPr>
              <w:t>% of allocation</w:t>
            </w:r>
          </w:p>
        </w:tc>
      </w:tr>
      <w:tr w:rsidR="0003713C" w:rsidRPr="00E6181A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</w:tcBorders>
            <w:noWrap/>
            <w:hideMark/>
          </w:tcPr>
          <w:p w:rsidR="0003713C" w:rsidRPr="00E6181A" w:rsidRDefault="0003713C" w:rsidP="006A6A80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A</w:t>
            </w:r>
            <w:r w:rsidR="006A6A80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“Innovative en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business support, human resources, IT infrastructure and services, research and technology</w:t>
            </w:r>
          </w:p>
        </w:tc>
        <w:tc>
          <w:tcPr>
            <w:tcW w:w="714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78.7%</w:t>
            </w:r>
          </w:p>
        </w:tc>
        <w:tc>
          <w:tcPr>
            <w:tcW w:w="572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50.7%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52.3%</w:t>
            </w:r>
          </w:p>
        </w:tc>
      </w:tr>
      <w:tr w:rsidR="0003713C" w:rsidRPr="00E6181A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</w:tcBorders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energy, environment and natural resources, transport infrastructure</w:t>
            </w:r>
          </w:p>
        </w:tc>
        <w:tc>
          <w:tcPr>
            <w:tcW w:w="714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14.5%</w:t>
            </w:r>
          </w:p>
        </w:tc>
        <w:tc>
          <w:tcPr>
            <w:tcW w:w="572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38.4%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32.5%</w:t>
            </w:r>
          </w:p>
        </w:tc>
      </w:tr>
      <w:tr w:rsidR="0003713C" w:rsidRPr="00E6181A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</w:tcBorders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social infrastructure, tourism and culture, urban and rural regeneration</w:t>
            </w:r>
          </w:p>
        </w:tc>
        <w:tc>
          <w:tcPr>
            <w:tcW w:w="714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3.4%</w:t>
            </w:r>
          </w:p>
        </w:tc>
        <w:tc>
          <w:tcPr>
            <w:tcW w:w="572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9.9%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13.3%</w:t>
            </w:r>
          </w:p>
        </w:tc>
      </w:tr>
      <w:tr w:rsidR="0003713C" w:rsidRPr="00E6181A" w:rsidTr="00E6652E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2014]</w:t>
            </w:r>
          </w:p>
        </w:tc>
      </w:tr>
      <w:tr w:rsidR="0003713C" w:rsidRPr="006A6A80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</w:tcBorders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A</w:t>
            </w:r>
            <w:r w:rsidR="006A6A80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“Innovative en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business support, human resources, IT infrastructure and services, research and technology</w:t>
            </w:r>
          </w:p>
        </w:tc>
        <w:tc>
          <w:tcPr>
            <w:tcW w:w="714" w:type="pct"/>
            <w:noWrap/>
          </w:tcPr>
          <w:p w:rsidR="0003713C" w:rsidRPr="006A6A80" w:rsidRDefault="006A6A80" w:rsidP="00BF38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73.1%</w:t>
            </w:r>
          </w:p>
        </w:tc>
        <w:tc>
          <w:tcPr>
            <w:tcW w:w="572" w:type="pct"/>
            <w:noWrap/>
          </w:tcPr>
          <w:p w:rsidR="0003713C" w:rsidRPr="006A6A80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89.7%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03713C" w:rsidRPr="006A6A80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83.2%</w:t>
            </w:r>
          </w:p>
        </w:tc>
      </w:tr>
      <w:tr w:rsidR="0003713C" w:rsidRPr="00E6181A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</w:tcBorders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energy, environment and natural resources, transport infrastructure</w:t>
            </w:r>
          </w:p>
        </w:tc>
        <w:tc>
          <w:tcPr>
            <w:tcW w:w="714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81.8%</w:t>
            </w:r>
          </w:p>
        </w:tc>
        <w:tc>
          <w:tcPr>
            <w:tcW w:w="572" w:type="pct"/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88.3%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81.9%</w:t>
            </w:r>
          </w:p>
        </w:tc>
      </w:tr>
      <w:tr w:rsidR="0003713C" w:rsidRPr="00E6181A" w:rsidTr="00FD3284">
        <w:trPr>
          <w:trHeight w:val="255"/>
        </w:trPr>
        <w:tc>
          <w:tcPr>
            <w:tcW w:w="3117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03713C" w:rsidRPr="00E6181A" w:rsidRDefault="0003713C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: social infrastructure, tourism and culture, urban and rural regeneration</w:t>
            </w:r>
          </w:p>
        </w:tc>
        <w:tc>
          <w:tcPr>
            <w:tcW w:w="714" w:type="pct"/>
            <w:tcBorders>
              <w:bottom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102.8%</w:t>
            </w:r>
          </w:p>
        </w:tc>
        <w:tc>
          <w:tcPr>
            <w:tcW w:w="572" w:type="pct"/>
            <w:tcBorders>
              <w:bottom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89.6%</w:t>
            </w:r>
          </w:p>
        </w:tc>
        <w:tc>
          <w:tcPr>
            <w:tcW w:w="597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03713C" w:rsidRPr="00E6181A" w:rsidRDefault="006A6A80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79.7%</w:t>
            </w:r>
          </w:p>
        </w:tc>
      </w:tr>
    </w:tbl>
    <w:p w:rsidR="00E6652E" w:rsidRPr="003864D3" w:rsidRDefault="003864D3" w:rsidP="003C750D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lastRenderedPageBreak/>
        <w:t xml:space="preserve">* % of allocation does not add to 1, because the “technical assistance” is not included in any of the categories. </w:t>
      </w:r>
    </w:p>
    <w:p w:rsidR="005903F7" w:rsidRDefault="005903F7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thematic structure of allocation in </w:t>
      </w:r>
      <w:r w:rsidR="00F26C3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Thüringen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is rather similar to the national average, while B-W deviates from this pattern,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strongly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prioritizing investments in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innovative environment. In terms of allocation for the Category C both case study regions fa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ll behind the national average, but this phenomena is more pronounced for B-W. 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</w:p>
    <w:p w:rsidR="00B35E07" w:rsidRDefault="003864D3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rate of absorption broken down by thematic categories shows 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very well balanced spending in case of </w:t>
      </w:r>
      <w:r w:rsidR="00F26C3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Thüringen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B-W exhibits a different pattern, where size of the allocation seems to be negatively correlated with the rate of absorption, up to </w:t>
      </w:r>
      <w:r w:rsidR="0094672F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an 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overspending observed in the Category C.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68"/>
        <w:gridCol w:w="1969"/>
        <w:gridCol w:w="1119"/>
        <w:gridCol w:w="1100"/>
        <w:gridCol w:w="1060"/>
      </w:tblGrid>
      <w:tr w:rsidR="00FD3284" w:rsidRPr="00B35E07" w:rsidTr="006A6A80">
        <w:trPr>
          <w:trHeight w:val="255"/>
        </w:trPr>
        <w:tc>
          <w:tcPr>
            <w:tcW w:w="232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D3284" w:rsidRPr="00B35E07" w:rsidRDefault="00FD3284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B35E07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Regional OP </w:t>
            </w:r>
            <w:r w:rsidRPr="00B35E07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 w:eastAsia="pl-PL"/>
              </w:rPr>
              <w:t>[ERDF]</w:t>
            </w:r>
          </w:p>
        </w:tc>
        <w:tc>
          <w:tcPr>
            <w:tcW w:w="993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Baden-Württemberg</w:t>
            </w:r>
          </w:p>
        </w:tc>
        <w:tc>
          <w:tcPr>
            <w:tcW w:w="57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Thüringen</w:t>
            </w:r>
          </w:p>
        </w:tc>
        <w:tc>
          <w:tcPr>
            <w:tcW w:w="56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D3284" w:rsidRPr="00FD3284" w:rsidRDefault="00FD3284" w:rsidP="00B06E70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D3284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Germany</w:t>
            </w:r>
          </w:p>
        </w:tc>
        <w:tc>
          <w:tcPr>
            <w:tcW w:w="545" w:type="pct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D3284" w:rsidRPr="00B35E07" w:rsidRDefault="00FD3284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B35E07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 w:eastAsia="pl-PL"/>
              </w:rPr>
              <w:t>Unit</w:t>
            </w:r>
          </w:p>
        </w:tc>
      </w:tr>
      <w:tr w:rsidR="00BA7E8E" w:rsidRPr="00B35E07" w:rsidTr="0003713C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  <w:noWrap/>
            <w:hideMark/>
          </w:tcPr>
          <w:p w:rsidR="00BA7E8E" w:rsidRPr="00B35E07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B35E07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Allocations</w:t>
            </w:r>
            <w:r w:rsidR="008451A0" w:rsidRPr="00B35E07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 xml:space="preserve"> to Regional OPs</w:t>
            </w:r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5E0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A</w:t>
            </w:r>
            <w:r w:rsidR="003C750D" w:rsidRPr="00B35E0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llocatio</w:t>
            </w:r>
            <w:proofErr w:type="spellEnd"/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n 2007-2013</w:t>
            </w:r>
          </w:p>
        </w:tc>
        <w:tc>
          <w:tcPr>
            <w:tcW w:w="993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150.7</w:t>
            </w:r>
          </w:p>
        </w:tc>
        <w:tc>
          <w:tcPr>
            <w:tcW w:w="57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1581.5</w:t>
            </w:r>
          </w:p>
        </w:tc>
        <w:tc>
          <w:tcPr>
            <w:tcW w:w="56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14388.8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A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llocation</w:t>
            </w:r>
            <w:proofErr w:type="spellEnd"/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2014-2020</w:t>
            </w:r>
          </w:p>
        </w:tc>
        <w:tc>
          <w:tcPr>
            <w:tcW w:w="993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246.6</w:t>
            </w:r>
          </w:p>
        </w:tc>
        <w:tc>
          <w:tcPr>
            <w:tcW w:w="57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1165.1</w:t>
            </w:r>
          </w:p>
        </w:tc>
        <w:tc>
          <w:tcPr>
            <w:tcW w:w="56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11061.4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mln EUR</w:t>
            </w:r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93" w:type="pct"/>
            <w:noWrap/>
          </w:tcPr>
          <w:p w:rsidR="003C750D" w:rsidRPr="00E6181A" w:rsidRDefault="006A6A80" w:rsidP="00BF38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1.64</w:t>
            </w:r>
          </w:p>
        </w:tc>
        <w:tc>
          <w:tcPr>
            <w:tcW w:w="57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0.74</w:t>
            </w:r>
          </w:p>
        </w:tc>
        <w:tc>
          <w:tcPr>
            <w:tcW w:w="56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0.77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ratio</w:t>
            </w:r>
          </w:p>
        </w:tc>
      </w:tr>
      <w:tr w:rsidR="00BA7E8E" w:rsidRPr="00A631B5" w:rsidTr="0003713C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  <w:noWrap/>
            <w:hideMark/>
          </w:tcPr>
          <w:p w:rsidR="00BA7E8E" w:rsidRPr="004A7819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Reported achievements</w:t>
            </w:r>
            <w:r w:rsidR="0094672F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: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 xml:space="preserve"> period 2007-2013 </w:t>
            </w:r>
            <w:r w:rsidR="004A7819"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 xml:space="preserve"> 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[</w:t>
            </w:r>
            <w:r w:rsidR="004A7819"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>as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 w:eastAsia="pl-PL"/>
              </w:rPr>
              <w:t xml:space="preserve"> in 2013]</w:t>
            </w:r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0B775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created</w:t>
            </w:r>
            <w:proofErr w:type="spellEnd"/>
          </w:p>
        </w:tc>
        <w:tc>
          <w:tcPr>
            <w:tcW w:w="993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4098</w:t>
            </w:r>
          </w:p>
        </w:tc>
        <w:tc>
          <w:tcPr>
            <w:tcW w:w="574" w:type="pct"/>
            <w:noWrap/>
          </w:tcPr>
          <w:p w:rsidR="003C750D" w:rsidRPr="00E6181A" w:rsidRDefault="006A6A80" w:rsidP="00DE4BC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8456</w:t>
            </w:r>
          </w:p>
        </w:tc>
        <w:tc>
          <w:tcPr>
            <w:tcW w:w="56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104012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S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tart-ups supported</w:t>
            </w:r>
          </w:p>
        </w:tc>
        <w:tc>
          <w:tcPr>
            <w:tcW w:w="993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64" w:type="pct"/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1209B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start-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ups</w:t>
            </w:r>
            <w:proofErr w:type="spellEnd"/>
          </w:p>
        </w:tc>
      </w:tr>
      <w:tr w:rsidR="003C750D" w:rsidRPr="004D208B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</w:tcBorders>
            <w:noWrap/>
          </w:tcPr>
          <w:p w:rsidR="003C750D" w:rsidRPr="004D208B" w:rsidRDefault="006A6A80" w:rsidP="006C487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Km of new roads</w:t>
            </w:r>
          </w:p>
        </w:tc>
        <w:tc>
          <w:tcPr>
            <w:tcW w:w="993" w:type="pct"/>
            <w:noWrap/>
          </w:tcPr>
          <w:p w:rsidR="003C750D" w:rsidRPr="004D208B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no data</w:t>
            </w:r>
          </w:p>
        </w:tc>
        <w:tc>
          <w:tcPr>
            <w:tcW w:w="574" w:type="pct"/>
            <w:noWrap/>
          </w:tcPr>
          <w:p w:rsidR="003C750D" w:rsidRPr="004D208B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50.3</w:t>
            </w:r>
          </w:p>
        </w:tc>
        <w:tc>
          <w:tcPr>
            <w:tcW w:w="564" w:type="pct"/>
            <w:noWrap/>
          </w:tcPr>
          <w:p w:rsidR="003C750D" w:rsidRPr="004D208B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293.5</w:t>
            </w:r>
          </w:p>
        </w:tc>
        <w:tc>
          <w:tcPr>
            <w:tcW w:w="545" w:type="pct"/>
            <w:tcBorders>
              <w:right w:val="single" w:sz="18" w:space="0" w:color="0070C0"/>
            </w:tcBorders>
            <w:noWrap/>
          </w:tcPr>
          <w:p w:rsidR="003C750D" w:rsidRPr="004D208B" w:rsidRDefault="006A6A80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km</w:t>
            </w:r>
          </w:p>
        </w:tc>
      </w:tr>
      <w:tr w:rsidR="003C750D" w:rsidRPr="00E6181A" w:rsidTr="006A6A80">
        <w:trPr>
          <w:trHeight w:val="255"/>
        </w:trPr>
        <w:tc>
          <w:tcPr>
            <w:tcW w:w="2325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3C750D" w:rsidRPr="00E6181A" w:rsidRDefault="006A6A80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R</w:t>
            </w:r>
            <w:r w:rsidR="007943E3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 xml:space="preserve">esearch, technology and development (RTD)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 w:eastAsia="pl-PL"/>
              </w:rPr>
              <w:t>projects</w:t>
            </w:r>
          </w:p>
        </w:tc>
        <w:tc>
          <w:tcPr>
            <w:tcW w:w="993" w:type="pct"/>
            <w:tcBorders>
              <w:bottom w:val="single" w:sz="18" w:space="0" w:color="0070C0"/>
            </w:tcBorders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" w:type="pct"/>
            <w:tcBorders>
              <w:bottom w:val="single" w:sz="18" w:space="0" w:color="0070C0"/>
            </w:tcBorders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564" w:type="pct"/>
            <w:tcBorders>
              <w:bottom w:val="single" w:sz="18" w:space="0" w:color="0070C0"/>
            </w:tcBorders>
            <w:noWrap/>
          </w:tcPr>
          <w:p w:rsidR="003C750D" w:rsidRPr="00E6181A" w:rsidRDefault="006A6A80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8294</w:t>
            </w:r>
          </w:p>
        </w:tc>
        <w:tc>
          <w:tcPr>
            <w:tcW w:w="545" w:type="pct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3C750D" w:rsidRPr="00E6181A" w:rsidRDefault="004D208B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eastAsia="pl-PL"/>
              </w:rPr>
              <w:t>projects</w:t>
            </w:r>
            <w:proofErr w:type="spellEnd"/>
          </w:p>
        </w:tc>
      </w:tr>
    </w:tbl>
    <w:p w:rsidR="00E8591D" w:rsidRDefault="00E8591D" w:rsidP="000B775D">
      <w:pPr>
        <w:jc w:val="both"/>
        <w:rPr>
          <w:rFonts w:ascii="Corbel" w:eastAsia="MS Mincho" w:hAnsi="Corbel" w:cs="Times New Roman"/>
          <w:color w:val="404040"/>
          <w:sz w:val="20"/>
          <w:lang w:val="en-GB" w:eastAsia="ja-JP"/>
        </w:rPr>
      </w:pPr>
    </w:p>
    <w:p w:rsidR="00E8591D" w:rsidRDefault="00E8591D" w:rsidP="000B775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allocations to the Regional OPs</w:t>
      </w:r>
      <w:r w:rsidR="0094672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question exhibits a diverging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trend, with B-W noting a significant increase, while </w:t>
      </w:r>
      <w:r w:rsidR="0094672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’s OP lost approx.. ¼ of its allocation in the current programming period. However, in per capita terms, the gap between the two regions remain considerable and in favour of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</w:t>
      </w:r>
    </w:p>
    <w:p w:rsidR="000B775D" w:rsidRPr="000867D9" w:rsidRDefault="000B775D" w:rsidP="000B775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reported 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number of created jobs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94672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related to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programme allocations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suggest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94672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OP </w:t>
      </w:r>
      <w:r w:rsidR="00E859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B-W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is more efficient than OP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 w:rsidR="001209B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creating new jobs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 w:rsidR="001209B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There is a stark difference in number of RTD projects supported, in favour of the latter programme. It is also this programme that shows a considerable focus on building basic infrastructure – although there is no data for B-W, the reported achievements of </w:t>
      </w:r>
      <w:r w:rsidR="00F26C3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Thüringen</w:t>
      </w:r>
      <w:r w:rsidR="001209B1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constructing new roads constitute a significant part of the national effort. </w:t>
      </w:r>
    </w:p>
    <w:p w:rsidR="003C750D" w:rsidRPr="000867D9" w:rsidRDefault="003C750D" w:rsidP="000867D9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sectPr w:rsidR="003C750D" w:rsidRPr="000867D9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4" w:rsidRDefault="00496634" w:rsidP="008070D0">
      <w:pPr>
        <w:spacing w:after="0" w:line="240" w:lineRule="auto"/>
      </w:pPr>
      <w:r>
        <w:separator/>
      </w:r>
    </w:p>
  </w:endnote>
  <w:endnote w:type="continuationSeparator" w:id="0">
    <w:p w:rsidR="00496634" w:rsidRDefault="00496634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4" w:rsidRDefault="00496634" w:rsidP="008070D0">
      <w:pPr>
        <w:spacing w:after="0" w:line="240" w:lineRule="auto"/>
      </w:pPr>
      <w:r>
        <w:separator/>
      </w:r>
    </w:p>
  </w:footnote>
  <w:footnote w:type="continuationSeparator" w:id="0">
    <w:p w:rsidR="00496634" w:rsidRDefault="00496634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F26C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E8C495" wp14:editId="0DCA50F6">
          <wp:simplePos x="0" y="0"/>
          <wp:positionH relativeFrom="column">
            <wp:posOffset>4337114</wp:posOffset>
          </wp:positionH>
          <wp:positionV relativeFrom="paragraph">
            <wp:posOffset>-354109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Q0NTCwNDY1MTM1N7ZQ0lEKTi0uzszPAykwrAUAPbYzXCwAAAA="/>
  </w:docVars>
  <w:rsids>
    <w:rsidRoot w:val="00A56F2A"/>
    <w:rsid w:val="00020410"/>
    <w:rsid w:val="0003713C"/>
    <w:rsid w:val="00041C48"/>
    <w:rsid w:val="000867D9"/>
    <w:rsid w:val="00094052"/>
    <w:rsid w:val="000B775D"/>
    <w:rsid w:val="000E6E42"/>
    <w:rsid w:val="001209B1"/>
    <w:rsid w:val="001222B7"/>
    <w:rsid w:val="00127195"/>
    <w:rsid w:val="00130863"/>
    <w:rsid w:val="001F3CED"/>
    <w:rsid w:val="00211151"/>
    <w:rsid w:val="00221148"/>
    <w:rsid w:val="00227060"/>
    <w:rsid w:val="00251FE3"/>
    <w:rsid w:val="00262AC8"/>
    <w:rsid w:val="00294768"/>
    <w:rsid w:val="002A3DCE"/>
    <w:rsid w:val="002D268A"/>
    <w:rsid w:val="00303CBA"/>
    <w:rsid w:val="003661B4"/>
    <w:rsid w:val="00366A75"/>
    <w:rsid w:val="003864D3"/>
    <w:rsid w:val="00386949"/>
    <w:rsid w:val="003946EE"/>
    <w:rsid w:val="003B331E"/>
    <w:rsid w:val="003C750D"/>
    <w:rsid w:val="00451674"/>
    <w:rsid w:val="004766EA"/>
    <w:rsid w:val="00496634"/>
    <w:rsid w:val="004A7819"/>
    <w:rsid w:val="004B7124"/>
    <w:rsid w:val="004D208B"/>
    <w:rsid w:val="00571C5F"/>
    <w:rsid w:val="005903F7"/>
    <w:rsid w:val="00661ED5"/>
    <w:rsid w:val="00680019"/>
    <w:rsid w:val="0069414F"/>
    <w:rsid w:val="006A6A80"/>
    <w:rsid w:val="006C487E"/>
    <w:rsid w:val="006E4D55"/>
    <w:rsid w:val="006E78F8"/>
    <w:rsid w:val="006E7FD8"/>
    <w:rsid w:val="00766649"/>
    <w:rsid w:val="00791BBC"/>
    <w:rsid w:val="007943E3"/>
    <w:rsid w:val="00795B0F"/>
    <w:rsid w:val="007A406F"/>
    <w:rsid w:val="008070D0"/>
    <w:rsid w:val="008379FA"/>
    <w:rsid w:val="00840977"/>
    <w:rsid w:val="008451A0"/>
    <w:rsid w:val="008578A9"/>
    <w:rsid w:val="008A2D04"/>
    <w:rsid w:val="0094672F"/>
    <w:rsid w:val="00986730"/>
    <w:rsid w:val="009B0D0C"/>
    <w:rsid w:val="009F5B5E"/>
    <w:rsid w:val="00A30DA6"/>
    <w:rsid w:val="00A346B5"/>
    <w:rsid w:val="00A56F2A"/>
    <w:rsid w:val="00A631B5"/>
    <w:rsid w:val="00AA072C"/>
    <w:rsid w:val="00AA24D5"/>
    <w:rsid w:val="00AD5513"/>
    <w:rsid w:val="00B35E07"/>
    <w:rsid w:val="00BA7E8E"/>
    <w:rsid w:val="00BC1229"/>
    <w:rsid w:val="00BF382A"/>
    <w:rsid w:val="00C27C6F"/>
    <w:rsid w:val="00CA0E0A"/>
    <w:rsid w:val="00D05A3A"/>
    <w:rsid w:val="00D066FD"/>
    <w:rsid w:val="00D33E4C"/>
    <w:rsid w:val="00D74CFE"/>
    <w:rsid w:val="00DE4BCB"/>
    <w:rsid w:val="00E37485"/>
    <w:rsid w:val="00E6181A"/>
    <w:rsid w:val="00E64D4C"/>
    <w:rsid w:val="00E6652E"/>
    <w:rsid w:val="00E8591D"/>
    <w:rsid w:val="00E95825"/>
    <w:rsid w:val="00EE6A5D"/>
    <w:rsid w:val="00EF46BC"/>
    <w:rsid w:val="00F0456E"/>
    <w:rsid w:val="00F269AC"/>
    <w:rsid w:val="00F26C34"/>
    <w:rsid w:val="00F57C20"/>
    <w:rsid w:val="00F65ACD"/>
    <w:rsid w:val="00F85BAD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F8"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094F-721E-4FA7-BCDB-722E2204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4</cp:revision>
  <dcterms:created xsi:type="dcterms:W3CDTF">2017-02-24T14:22:00Z</dcterms:created>
  <dcterms:modified xsi:type="dcterms:W3CDTF">2017-02-27T21:54:00Z</dcterms:modified>
</cp:coreProperties>
</file>