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1A" w:rsidRDefault="00A56F2A" w:rsidP="009B0D0C">
      <w:pPr>
        <w:pStyle w:val="lvl1Heading"/>
        <w:spacing w:before="120"/>
        <w:ind w:left="357" w:hanging="357"/>
      </w:pPr>
      <w:r w:rsidRPr="00E6181A">
        <w:t>Factsheet on Cohesion Policy i</w:t>
      </w:r>
      <w:r w:rsidR="00E6181A">
        <w:t>mplementation and performance</w:t>
      </w:r>
    </w:p>
    <w:p w:rsidR="003B331E" w:rsidRPr="00E6181A" w:rsidRDefault="00E6181A" w:rsidP="009B0D0C">
      <w:pPr>
        <w:pStyle w:val="lvl1Heading"/>
        <w:spacing w:before="120"/>
        <w:ind w:left="357" w:hanging="357"/>
      </w:pPr>
      <w:r>
        <w:t>C</w:t>
      </w:r>
      <w:r w:rsidR="003E7766">
        <w:t xml:space="preserve">ase </w:t>
      </w:r>
      <w:r w:rsidR="003E7766" w:rsidRPr="00C742A0">
        <w:t>study</w:t>
      </w:r>
      <w:r w:rsidR="003E7766">
        <w:t xml:space="preserve">: </w:t>
      </w:r>
      <w:r w:rsidR="008C0E31">
        <w:t>Cyprus</w:t>
      </w:r>
    </w:p>
    <w:p w:rsidR="00A56F2A" w:rsidRDefault="00D92147" w:rsidP="00E95825">
      <w:pPr>
        <w:spacing w:after="160" w:line="240" w:lineRule="auto"/>
        <w:jc w:val="right"/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</w:pPr>
      <w:r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  <w:t>Version 22</w:t>
      </w:r>
      <w:r w:rsidR="00E6181A" w:rsidRPr="00E95825"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  <w:t>.0</w:t>
      </w:r>
      <w:r w:rsidR="009F5B5E"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  <w:t>2</w:t>
      </w:r>
      <w:r w:rsidR="00E6181A" w:rsidRPr="00E95825"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  <w:t>.2017,</w:t>
      </w:r>
      <w:r w:rsidR="00386949" w:rsidRPr="00E95825">
        <w:rPr>
          <w:rFonts w:ascii="Century Gothic" w:eastAsia="MS Mincho" w:hAnsi="Century Gothic" w:cs="Arial"/>
          <w:bCs/>
          <w:color w:val="0D8B95"/>
          <w:kern w:val="24"/>
          <w:sz w:val="24"/>
          <w:szCs w:val="28"/>
          <w:lang w:val="en-GB" w:eastAsia="ja-JP"/>
        </w:rPr>
        <w:t xml:space="preserve"> EUROREG</w:t>
      </w:r>
    </w:p>
    <w:tbl>
      <w:tblPr>
        <w:tblStyle w:val="Tabela-Siatka"/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5414"/>
        <w:gridCol w:w="2209"/>
        <w:gridCol w:w="2293"/>
      </w:tblGrid>
      <w:tr w:rsidR="008C0E31" w:rsidRPr="00E6181A" w:rsidTr="008C0E31">
        <w:trPr>
          <w:trHeight w:val="255"/>
        </w:trPr>
        <w:tc>
          <w:tcPr>
            <w:tcW w:w="2730" w:type="pct"/>
            <w:tcBorders>
              <w:top w:val="single" w:sz="18" w:space="0" w:color="00B050"/>
              <w:left w:val="single" w:sz="18" w:space="0" w:color="00B050"/>
              <w:bottom w:val="single" w:sz="18" w:space="0" w:color="00B050"/>
            </w:tcBorders>
            <w:shd w:val="clear" w:color="auto" w:fill="C2D69B" w:themeFill="accent3" w:themeFillTint="99"/>
            <w:noWrap/>
            <w:hideMark/>
          </w:tcPr>
          <w:p w:rsidR="008C0E31" w:rsidRPr="00E6181A" w:rsidRDefault="008C0E31" w:rsidP="00A56F2A">
            <w:pP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Basic info</w:t>
            </w:r>
          </w:p>
        </w:tc>
        <w:tc>
          <w:tcPr>
            <w:tcW w:w="1114" w:type="pct"/>
            <w:tcBorders>
              <w:top w:val="single" w:sz="18" w:space="0" w:color="00B050"/>
              <w:bottom w:val="single" w:sz="18" w:space="0" w:color="00B050"/>
            </w:tcBorders>
            <w:shd w:val="clear" w:color="auto" w:fill="C2D69B" w:themeFill="accent3" w:themeFillTint="99"/>
            <w:noWrap/>
            <w:hideMark/>
          </w:tcPr>
          <w:p w:rsidR="008C0E31" w:rsidRPr="00E6181A" w:rsidRDefault="008C0E31" w:rsidP="00A77B75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Cyprus</w:t>
            </w:r>
          </w:p>
        </w:tc>
        <w:tc>
          <w:tcPr>
            <w:tcW w:w="1156" w:type="pct"/>
            <w:tcBorders>
              <w:top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C2D69B" w:themeFill="accent3" w:themeFillTint="99"/>
            <w:noWrap/>
            <w:hideMark/>
          </w:tcPr>
          <w:p w:rsidR="008C0E31" w:rsidRPr="00E6181A" w:rsidRDefault="008C0E31" w:rsidP="00A77B75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Unit</w:t>
            </w:r>
          </w:p>
        </w:tc>
      </w:tr>
      <w:tr w:rsidR="008C0E31" w:rsidRPr="00E6181A" w:rsidTr="008C0E31">
        <w:trPr>
          <w:trHeight w:val="255"/>
        </w:trPr>
        <w:tc>
          <w:tcPr>
            <w:tcW w:w="2730" w:type="pct"/>
            <w:tcBorders>
              <w:top w:val="single" w:sz="18" w:space="0" w:color="00B050"/>
              <w:left w:val="single" w:sz="18" w:space="0" w:color="00B050"/>
            </w:tcBorders>
            <w:noWrap/>
            <w:hideMark/>
          </w:tcPr>
          <w:p w:rsidR="008C0E31" w:rsidRPr="00E6181A" w:rsidRDefault="008C0E31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Population [2008]</w:t>
            </w:r>
          </w:p>
        </w:tc>
        <w:tc>
          <w:tcPr>
            <w:tcW w:w="1114" w:type="pct"/>
            <w:tcBorders>
              <w:top w:val="single" w:sz="18" w:space="0" w:color="00B050"/>
            </w:tcBorders>
            <w:noWrap/>
          </w:tcPr>
          <w:p w:rsidR="008C0E31" w:rsidRPr="00E6181A" w:rsidRDefault="008C0E31" w:rsidP="00A77B75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776.3</w:t>
            </w:r>
          </w:p>
        </w:tc>
        <w:tc>
          <w:tcPr>
            <w:tcW w:w="1156" w:type="pct"/>
            <w:tcBorders>
              <w:top w:val="single" w:sz="18" w:space="0" w:color="00B050"/>
              <w:right w:val="single" w:sz="18" w:space="0" w:color="00B050"/>
            </w:tcBorders>
            <w:noWrap/>
            <w:hideMark/>
          </w:tcPr>
          <w:p w:rsidR="008C0E31" w:rsidRPr="00E6181A" w:rsidRDefault="008C0E31" w:rsidP="00A77B75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thous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8C0E31" w:rsidRPr="00E6181A" w:rsidTr="008C0E31">
        <w:trPr>
          <w:trHeight w:val="255"/>
        </w:trPr>
        <w:tc>
          <w:tcPr>
            <w:tcW w:w="2730" w:type="pct"/>
            <w:tcBorders>
              <w:left w:val="single" w:sz="18" w:space="0" w:color="00B050"/>
            </w:tcBorders>
            <w:noWrap/>
            <w:hideMark/>
          </w:tcPr>
          <w:p w:rsidR="008C0E31" w:rsidRPr="00E6181A" w:rsidRDefault="008C0E31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GDP [2008]</w:t>
            </w:r>
          </w:p>
        </w:tc>
        <w:tc>
          <w:tcPr>
            <w:tcW w:w="1114" w:type="pct"/>
            <w:noWrap/>
          </w:tcPr>
          <w:p w:rsidR="008C0E31" w:rsidRPr="00E6181A" w:rsidRDefault="008C0E31" w:rsidP="00A77B75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18822</w:t>
            </w:r>
          </w:p>
        </w:tc>
        <w:tc>
          <w:tcPr>
            <w:tcW w:w="1156" w:type="pct"/>
            <w:tcBorders>
              <w:right w:val="single" w:sz="18" w:space="0" w:color="00B050"/>
            </w:tcBorders>
            <w:noWrap/>
            <w:hideMark/>
          </w:tcPr>
          <w:p w:rsidR="008C0E31" w:rsidRPr="00E6181A" w:rsidRDefault="008C0E31" w:rsidP="00A77B75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mln EUR</w:t>
            </w:r>
          </w:p>
        </w:tc>
      </w:tr>
      <w:tr w:rsidR="008C0E31" w:rsidRPr="00E6181A" w:rsidTr="008C0E31">
        <w:trPr>
          <w:trHeight w:val="255"/>
        </w:trPr>
        <w:tc>
          <w:tcPr>
            <w:tcW w:w="2730" w:type="pct"/>
            <w:tcBorders>
              <w:left w:val="single" w:sz="18" w:space="0" w:color="00B050"/>
            </w:tcBorders>
            <w:noWrap/>
            <w:hideMark/>
          </w:tcPr>
          <w:p w:rsidR="008C0E31" w:rsidRPr="00E6181A" w:rsidRDefault="008C0E31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Population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[2014]</w:t>
            </w:r>
          </w:p>
        </w:tc>
        <w:tc>
          <w:tcPr>
            <w:tcW w:w="1114" w:type="pct"/>
            <w:noWrap/>
          </w:tcPr>
          <w:p w:rsidR="008C0E31" w:rsidRPr="00E6181A" w:rsidRDefault="008C0E31" w:rsidP="00C201C3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858.0</w:t>
            </w:r>
          </w:p>
        </w:tc>
        <w:tc>
          <w:tcPr>
            <w:tcW w:w="1156" w:type="pct"/>
            <w:tcBorders>
              <w:right w:val="single" w:sz="18" w:space="0" w:color="00B050"/>
            </w:tcBorders>
            <w:noWrap/>
            <w:hideMark/>
          </w:tcPr>
          <w:p w:rsidR="008C0E31" w:rsidRPr="00E6181A" w:rsidRDefault="008C0E31" w:rsidP="00A77B75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thous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.</w:t>
            </w:r>
          </w:p>
        </w:tc>
      </w:tr>
      <w:tr w:rsidR="008C0E31" w:rsidRPr="00E6181A" w:rsidTr="008C0E31">
        <w:trPr>
          <w:trHeight w:val="255"/>
        </w:trPr>
        <w:tc>
          <w:tcPr>
            <w:tcW w:w="2730" w:type="pct"/>
            <w:tcBorders>
              <w:left w:val="single" w:sz="18" w:space="0" w:color="00B050"/>
            </w:tcBorders>
            <w:noWrap/>
            <w:hideMark/>
          </w:tcPr>
          <w:p w:rsidR="008C0E31" w:rsidRPr="00E6181A" w:rsidRDefault="008C0E31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GDP [2014]</w:t>
            </w:r>
          </w:p>
        </w:tc>
        <w:tc>
          <w:tcPr>
            <w:tcW w:w="1114" w:type="pct"/>
            <w:noWrap/>
          </w:tcPr>
          <w:p w:rsidR="008C0E31" w:rsidRPr="00E6181A" w:rsidRDefault="008C0E31" w:rsidP="00A77B75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17394</w:t>
            </w:r>
          </w:p>
        </w:tc>
        <w:tc>
          <w:tcPr>
            <w:tcW w:w="1156" w:type="pct"/>
            <w:tcBorders>
              <w:right w:val="single" w:sz="18" w:space="0" w:color="00B050"/>
            </w:tcBorders>
            <w:noWrap/>
            <w:hideMark/>
          </w:tcPr>
          <w:p w:rsidR="008C0E31" w:rsidRPr="00E6181A" w:rsidRDefault="008C0E31" w:rsidP="00A77B75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mln EUR</w:t>
            </w:r>
          </w:p>
        </w:tc>
      </w:tr>
      <w:tr w:rsidR="008C0E31" w:rsidRPr="00CC67CC" w:rsidTr="008C0E31">
        <w:trPr>
          <w:trHeight w:val="255"/>
        </w:trPr>
        <w:tc>
          <w:tcPr>
            <w:tcW w:w="2730" w:type="pct"/>
            <w:tcBorders>
              <w:top w:val="single" w:sz="18" w:space="0" w:color="00B050"/>
              <w:left w:val="single" w:sz="18" w:space="0" w:color="00B050"/>
              <w:right w:val="nil"/>
            </w:tcBorders>
            <w:shd w:val="clear" w:color="auto" w:fill="EAF1DD" w:themeFill="accent3" w:themeFillTint="33"/>
            <w:noWrap/>
            <w:hideMark/>
          </w:tcPr>
          <w:p w:rsidR="008C0E31" w:rsidRPr="00CC67CC" w:rsidRDefault="008C0E31" w:rsidP="00127195">
            <w:pPr>
              <w:rPr>
                <w:rFonts w:ascii="Corbel" w:eastAsia="Times New Roman" w:hAnsi="Corbel" w:cs="Arial"/>
                <w:b/>
                <w:i/>
                <w:color w:val="000000"/>
                <w:sz w:val="20"/>
                <w:szCs w:val="20"/>
                <w:lang w:val="en-US"/>
              </w:rPr>
            </w:pPr>
            <w:r w:rsidRPr="00CC67CC"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  <w:lang w:val="en-US"/>
              </w:rPr>
              <w:t>Total allocation</w:t>
            </w:r>
            <w:r w:rsidR="00CC67CC" w:rsidRPr="00CC67CC"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  <w:lang w:val="en-US"/>
              </w:rPr>
              <w:t xml:space="preserve"> [incl. </w:t>
            </w:r>
            <w:r w:rsidR="00CC67CC"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  <w:lang w:val="en-US"/>
              </w:rPr>
              <w:t>CBC programmes]</w:t>
            </w:r>
            <w:bookmarkStart w:id="0" w:name="_GoBack"/>
            <w:bookmarkEnd w:id="0"/>
          </w:p>
        </w:tc>
        <w:tc>
          <w:tcPr>
            <w:tcW w:w="2270" w:type="pct"/>
            <w:gridSpan w:val="2"/>
            <w:tcBorders>
              <w:top w:val="single" w:sz="18" w:space="0" w:color="00B050"/>
              <w:left w:val="nil"/>
              <w:right w:val="single" w:sz="18" w:space="0" w:color="00B050"/>
            </w:tcBorders>
            <w:shd w:val="clear" w:color="auto" w:fill="EAF1DD" w:themeFill="accent3" w:themeFillTint="33"/>
          </w:tcPr>
          <w:p w:rsidR="008C0E31" w:rsidRPr="00CC67CC" w:rsidRDefault="008C0E31" w:rsidP="00E265F8">
            <w:pPr>
              <w:rPr>
                <w:rFonts w:ascii="Corbel" w:eastAsia="Times New Roman" w:hAnsi="Corbel" w:cs="Arial"/>
                <w:b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8C0E31" w:rsidRPr="00CC67CC" w:rsidTr="008C0E31">
        <w:trPr>
          <w:trHeight w:val="255"/>
        </w:trPr>
        <w:tc>
          <w:tcPr>
            <w:tcW w:w="2730" w:type="pct"/>
            <w:tcBorders>
              <w:left w:val="single" w:sz="18" w:space="0" w:color="00B050"/>
            </w:tcBorders>
            <w:noWrap/>
            <w:hideMark/>
          </w:tcPr>
          <w:p w:rsidR="008C0E31" w:rsidRPr="00CC67CC" w:rsidRDefault="008C0E31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CC67CC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Allocation ERDF+CF [</w:t>
            </w:r>
            <w:r w:rsidR="008A39C8" w:rsidRPr="00CC67CC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2004</w:t>
            </w:r>
            <w:r w:rsidRPr="00CC67CC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-2006]</w:t>
            </w:r>
          </w:p>
        </w:tc>
        <w:tc>
          <w:tcPr>
            <w:tcW w:w="1114" w:type="pct"/>
            <w:noWrap/>
          </w:tcPr>
          <w:p w:rsidR="008C0E31" w:rsidRPr="00CC67CC" w:rsidRDefault="008C0E31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CC67CC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82.0</w:t>
            </w:r>
          </w:p>
        </w:tc>
        <w:tc>
          <w:tcPr>
            <w:tcW w:w="1156" w:type="pct"/>
            <w:tcBorders>
              <w:right w:val="single" w:sz="18" w:space="0" w:color="00B050"/>
            </w:tcBorders>
            <w:noWrap/>
            <w:hideMark/>
          </w:tcPr>
          <w:p w:rsidR="008C0E31" w:rsidRPr="00CC67CC" w:rsidRDefault="008C0E31" w:rsidP="006C4D64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C67CC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mln</w:t>
            </w:r>
            <w:proofErr w:type="spellEnd"/>
            <w:r w:rsidRPr="00CC67CC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 EUR</w:t>
            </w:r>
          </w:p>
        </w:tc>
      </w:tr>
      <w:tr w:rsidR="008C0E31" w:rsidRPr="00CC67CC" w:rsidTr="008C0E31">
        <w:trPr>
          <w:trHeight w:val="201"/>
        </w:trPr>
        <w:tc>
          <w:tcPr>
            <w:tcW w:w="2730" w:type="pct"/>
            <w:tcBorders>
              <w:left w:val="single" w:sz="18" w:space="0" w:color="00B050"/>
            </w:tcBorders>
            <w:noWrap/>
            <w:hideMark/>
          </w:tcPr>
          <w:p w:rsidR="008C0E31" w:rsidRPr="00CC67CC" w:rsidRDefault="008C0E31" w:rsidP="00A56F2A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CC67CC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Allocation ERDF+CF 2007-2013</w:t>
            </w:r>
          </w:p>
        </w:tc>
        <w:tc>
          <w:tcPr>
            <w:tcW w:w="1114" w:type="pct"/>
            <w:noWrap/>
          </w:tcPr>
          <w:p w:rsidR="008C0E31" w:rsidRPr="00CC67CC" w:rsidRDefault="00CC67CC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CC67CC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610.8</w:t>
            </w:r>
          </w:p>
        </w:tc>
        <w:tc>
          <w:tcPr>
            <w:tcW w:w="1156" w:type="pct"/>
            <w:tcBorders>
              <w:right w:val="single" w:sz="18" w:space="0" w:color="00B050"/>
            </w:tcBorders>
            <w:noWrap/>
            <w:hideMark/>
          </w:tcPr>
          <w:p w:rsidR="008C0E31" w:rsidRPr="00CC67CC" w:rsidRDefault="008C0E31" w:rsidP="006C4D64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C67CC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mln</w:t>
            </w:r>
            <w:proofErr w:type="spellEnd"/>
            <w:r w:rsidRPr="00CC67CC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 EUR</w:t>
            </w:r>
          </w:p>
        </w:tc>
      </w:tr>
      <w:tr w:rsidR="008C0E31" w:rsidRPr="00E6181A" w:rsidTr="008C0E31">
        <w:trPr>
          <w:trHeight w:val="255"/>
        </w:trPr>
        <w:tc>
          <w:tcPr>
            <w:tcW w:w="2730" w:type="pct"/>
            <w:tcBorders>
              <w:left w:val="single" w:sz="18" w:space="0" w:color="00B050"/>
            </w:tcBorders>
            <w:noWrap/>
            <w:hideMark/>
          </w:tcPr>
          <w:p w:rsidR="008C0E31" w:rsidRPr="00E6181A" w:rsidRDefault="008C0E31" w:rsidP="00F85BAD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CC67CC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Ratio [period 2007-2013 to 20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00-2006]</w:t>
            </w:r>
          </w:p>
        </w:tc>
        <w:tc>
          <w:tcPr>
            <w:tcW w:w="1114" w:type="pct"/>
            <w:noWrap/>
          </w:tcPr>
          <w:p w:rsidR="008C0E31" w:rsidRPr="00E6181A" w:rsidRDefault="00CC67CC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7.45</w:t>
            </w:r>
          </w:p>
        </w:tc>
        <w:tc>
          <w:tcPr>
            <w:tcW w:w="1156" w:type="pct"/>
            <w:tcBorders>
              <w:right w:val="single" w:sz="18" w:space="0" w:color="00B050"/>
            </w:tcBorders>
            <w:noWrap/>
            <w:hideMark/>
          </w:tcPr>
          <w:p w:rsidR="008C0E31" w:rsidRPr="00E6181A" w:rsidRDefault="008C0E31" w:rsidP="006C4D64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ratio</w:t>
            </w:r>
          </w:p>
        </w:tc>
      </w:tr>
      <w:tr w:rsidR="008C0E31" w:rsidRPr="00E6181A" w:rsidTr="008C0E31">
        <w:trPr>
          <w:trHeight w:val="255"/>
        </w:trPr>
        <w:tc>
          <w:tcPr>
            <w:tcW w:w="2730" w:type="pct"/>
            <w:tcBorders>
              <w:top w:val="single" w:sz="18" w:space="0" w:color="00B050"/>
              <w:left w:val="single" w:sz="18" w:space="0" w:color="00B050"/>
              <w:right w:val="nil"/>
            </w:tcBorders>
            <w:shd w:val="clear" w:color="auto" w:fill="EAF1DD" w:themeFill="accent3" w:themeFillTint="33"/>
            <w:noWrap/>
            <w:hideMark/>
          </w:tcPr>
          <w:p w:rsidR="008C0E31" w:rsidRPr="00E6181A" w:rsidRDefault="008C0E31" w:rsidP="00127195">
            <w:pPr>
              <w:rPr>
                <w:rFonts w:ascii="Corbel" w:eastAsia="Times New Roman" w:hAnsi="Corbel" w:cs="Arial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</w:rPr>
              <w:t>Absorption</w:t>
            </w:r>
            <w:proofErr w:type="spellEnd"/>
            <w:r w:rsidRPr="00E6181A"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E6181A"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</w:rPr>
              <w:t>rates</w:t>
            </w:r>
            <w:proofErr w:type="spellEnd"/>
            <w:r w:rsidR="00D92147">
              <w:rPr>
                <w:rFonts w:ascii="Corbel" w:eastAsia="Times New Roman" w:hAnsi="Corbel" w:cs="Arial"/>
                <w:b/>
                <w:i/>
                <w:color w:val="4F6228" w:themeColor="accent3" w:themeShade="80"/>
                <w:sz w:val="20"/>
                <w:szCs w:val="20"/>
              </w:rPr>
              <w:t xml:space="preserve"> ERDF+CF</w:t>
            </w:r>
          </w:p>
        </w:tc>
        <w:tc>
          <w:tcPr>
            <w:tcW w:w="2270" w:type="pct"/>
            <w:gridSpan w:val="2"/>
            <w:tcBorders>
              <w:top w:val="single" w:sz="18" w:space="0" w:color="00B050"/>
              <w:left w:val="nil"/>
              <w:right w:val="single" w:sz="18" w:space="0" w:color="00B050"/>
            </w:tcBorders>
            <w:shd w:val="clear" w:color="auto" w:fill="EAF1DD" w:themeFill="accent3" w:themeFillTint="33"/>
          </w:tcPr>
          <w:p w:rsidR="008C0E31" w:rsidRPr="00E6181A" w:rsidRDefault="008C0E31" w:rsidP="00E265F8">
            <w:pPr>
              <w:rPr>
                <w:rFonts w:ascii="Corbel" w:eastAsia="Times New Roman" w:hAnsi="Corbe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8C0E31" w:rsidRPr="00E6181A" w:rsidTr="008C0E31">
        <w:trPr>
          <w:trHeight w:val="255"/>
        </w:trPr>
        <w:tc>
          <w:tcPr>
            <w:tcW w:w="2730" w:type="pct"/>
            <w:tcBorders>
              <w:left w:val="single" w:sz="18" w:space="0" w:color="00B050"/>
            </w:tcBorders>
            <w:noWrap/>
            <w:hideMark/>
          </w:tcPr>
          <w:p w:rsidR="008C0E31" w:rsidRPr="00E6181A" w:rsidRDefault="008C0E31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Absorption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rate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2000-2006</w:t>
            </w:r>
            <w:r w:rsidR="00D92147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[</w:t>
            </w:r>
            <w:proofErr w:type="spellStart"/>
            <w:r w:rsidR="00D92147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final</w:t>
            </w:r>
            <w:proofErr w:type="spellEnd"/>
            <w:r w:rsidR="00D92147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14" w:type="pct"/>
            <w:noWrap/>
          </w:tcPr>
          <w:p w:rsidR="008C0E31" w:rsidRPr="00E6181A" w:rsidRDefault="008C0E31" w:rsidP="00A56F2A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6" w:type="pct"/>
            <w:tcBorders>
              <w:right w:val="single" w:sz="18" w:space="0" w:color="00B050"/>
            </w:tcBorders>
            <w:noWrap/>
            <w:hideMark/>
          </w:tcPr>
          <w:p w:rsidR="008C0E31" w:rsidRPr="00E6181A" w:rsidRDefault="008C0E31" w:rsidP="00E25577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per cent</w:t>
            </w:r>
          </w:p>
        </w:tc>
      </w:tr>
      <w:tr w:rsidR="008C0E31" w:rsidRPr="00E6181A" w:rsidTr="008C0E31">
        <w:trPr>
          <w:trHeight w:val="255"/>
        </w:trPr>
        <w:tc>
          <w:tcPr>
            <w:tcW w:w="2730" w:type="pct"/>
            <w:tcBorders>
              <w:left w:val="single" w:sz="18" w:space="0" w:color="00B050"/>
              <w:bottom w:val="single" w:sz="18" w:space="0" w:color="00B050"/>
            </w:tcBorders>
            <w:noWrap/>
            <w:hideMark/>
          </w:tcPr>
          <w:p w:rsidR="008C0E31" w:rsidRPr="00E6181A" w:rsidRDefault="008C0E31" w:rsidP="009B0D0C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Absorption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rate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2007-2013 [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in 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2014]</w:t>
            </w:r>
          </w:p>
        </w:tc>
        <w:tc>
          <w:tcPr>
            <w:tcW w:w="1114" w:type="pct"/>
            <w:tcBorders>
              <w:bottom w:val="single" w:sz="18" w:space="0" w:color="00B050"/>
            </w:tcBorders>
            <w:noWrap/>
          </w:tcPr>
          <w:p w:rsidR="008C0E31" w:rsidRPr="00E6181A" w:rsidRDefault="008C0E31" w:rsidP="00CC67C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64.</w:t>
            </w:r>
            <w:r w:rsidR="00CC67CC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6" w:type="pct"/>
            <w:tcBorders>
              <w:bottom w:val="single" w:sz="18" w:space="0" w:color="00B050"/>
              <w:right w:val="single" w:sz="18" w:space="0" w:color="00B050"/>
            </w:tcBorders>
            <w:noWrap/>
            <w:hideMark/>
          </w:tcPr>
          <w:p w:rsidR="008C0E31" w:rsidRPr="00E6181A" w:rsidRDefault="008C0E31" w:rsidP="00E25577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per cent</w:t>
            </w:r>
          </w:p>
        </w:tc>
      </w:tr>
    </w:tbl>
    <w:p w:rsidR="00221148" w:rsidRDefault="00221148" w:rsidP="003C750D">
      <w:pPr>
        <w:jc w:val="both"/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</w:pPr>
    </w:p>
    <w:p w:rsidR="00221148" w:rsidRDefault="008A39C8" w:rsidP="003C750D">
      <w:pPr>
        <w:contextualSpacing/>
        <w:jc w:val="both"/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</w:pP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The total allocation </w:t>
      </w:r>
      <w:r w:rsidR="002D3CA8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for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Cyprus has increased significantly in the programming period 2007-2013, as compared to the former period, reaching </w:t>
      </w:r>
      <w:r w:rsidR="00CC67C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610.8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mln</w:t>
      </w:r>
      <w:proofErr w:type="spellEnd"/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EUR or over 700 EUR in per capita terms. Simultaneously, Cyprus was classified as a phasing-in region. After 2014, </w:t>
      </w:r>
      <w:r w:rsidR="002D3CA8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under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the new programming period, its eligibility status has been changed to a transition region. The 2014 absorption rate </w:t>
      </w:r>
      <w:r w:rsidR="002D3CA8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for Cyprus 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was mo</w:t>
      </w:r>
      <w:r w:rsidR="00CC67C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>dest, equalling 64.6</w:t>
      </w:r>
      <w:r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%. </w:t>
      </w:r>
    </w:p>
    <w:p w:rsidR="00921C6E" w:rsidRPr="009B0D0C" w:rsidRDefault="00921C6E" w:rsidP="003C750D">
      <w:pPr>
        <w:contextualSpacing/>
        <w:jc w:val="both"/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</w:pPr>
    </w:p>
    <w:tbl>
      <w:tblPr>
        <w:tblStyle w:val="Tabela-Siatka"/>
        <w:tblW w:w="5000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165"/>
        <w:gridCol w:w="1751"/>
      </w:tblGrid>
      <w:tr w:rsidR="008C0E31" w:rsidRPr="00921C6E" w:rsidTr="008C0E31">
        <w:trPr>
          <w:trHeight w:val="255"/>
        </w:trPr>
        <w:tc>
          <w:tcPr>
            <w:tcW w:w="4117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</w:tcBorders>
            <w:shd w:val="clear" w:color="auto" w:fill="FFCC00"/>
            <w:noWrap/>
            <w:hideMark/>
          </w:tcPr>
          <w:p w:rsidR="008C0E31" w:rsidRPr="009B0D0C" w:rsidRDefault="008C0E31" w:rsidP="00CC67CC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9B0D0C">
              <w:rPr>
                <w:rFonts w:ascii="Corbel" w:eastAsia="Times New Roman" w:hAnsi="Corbel" w:cs="Arial"/>
                <w:b/>
                <w:bCs/>
                <w:color w:val="000000"/>
                <w:sz w:val="20"/>
                <w:szCs w:val="20"/>
                <w:lang w:val="en-US"/>
              </w:rPr>
              <w:t>Thematic structure</w:t>
            </w:r>
            <w:r w:rsidRPr="009B0D0C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 [</w:t>
            </w:r>
            <w:proofErr w:type="spellStart"/>
            <w:r w:rsidR="00CC67CC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Reg</w:t>
            </w:r>
            <w:proofErr w:type="spellEnd"/>
            <w:r w:rsidR="00CC67CC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 OP</w:t>
            </w:r>
            <w:r w:rsidRPr="009B0D0C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, 2007-13, ERDF+CF]</w:t>
            </w:r>
          </w:p>
        </w:tc>
        <w:tc>
          <w:tcPr>
            <w:tcW w:w="883" w:type="pct"/>
            <w:tcBorders>
              <w:top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FFCC00"/>
            <w:noWrap/>
            <w:hideMark/>
          </w:tcPr>
          <w:p w:rsidR="008C0E31" w:rsidRPr="00921C6E" w:rsidRDefault="008C0E31" w:rsidP="009B0D0C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Cyprus</w:t>
            </w:r>
          </w:p>
        </w:tc>
      </w:tr>
      <w:tr w:rsidR="008C0E31" w:rsidRPr="00921C6E" w:rsidTr="008C0E31">
        <w:trPr>
          <w:trHeight w:val="255"/>
        </w:trPr>
        <w:tc>
          <w:tcPr>
            <w:tcW w:w="4117" w:type="pct"/>
            <w:tcBorders>
              <w:top w:val="single" w:sz="18" w:space="0" w:color="FFC000"/>
              <w:left w:val="single" w:sz="18" w:space="0" w:color="FFC000"/>
              <w:right w:val="nil"/>
            </w:tcBorders>
            <w:shd w:val="clear" w:color="auto" w:fill="FDE9D9" w:themeFill="accent6" w:themeFillTint="33"/>
            <w:noWrap/>
            <w:hideMark/>
          </w:tcPr>
          <w:p w:rsidR="008C0E31" w:rsidRPr="00E265F8" w:rsidRDefault="008C0E31" w:rsidP="00E265F8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265F8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  <w:lang w:val="en-US"/>
              </w:rPr>
              <w:t xml:space="preserve">% of allocation </w:t>
            </w:r>
          </w:p>
        </w:tc>
        <w:tc>
          <w:tcPr>
            <w:tcW w:w="883" w:type="pct"/>
            <w:tcBorders>
              <w:top w:val="single" w:sz="18" w:space="0" w:color="FFC000"/>
              <w:left w:val="nil"/>
              <w:right w:val="single" w:sz="18" w:space="0" w:color="FFC000"/>
            </w:tcBorders>
            <w:shd w:val="clear" w:color="auto" w:fill="FDE9D9" w:themeFill="accent6" w:themeFillTint="33"/>
          </w:tcPr>
          <w:p w:rsidR="008C0E31" w:rsidRPr="00E265F8" w:rsidRDefault="008C0E31" w:rsidP="00EE3B3A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C0E31" w:rsidRPr="00E6181A" w:rsidTr="008C0E31">
        <w:trPr>
          <w:trHeight w:val="255"/>
        </w:trPr>
        <w:tc>
          <w:tcPr>
            <w:tcW w:w="4117" w:type="pct"/>
            <w:tcBorders>
              <w:left w:val="single" w:sz="18" w:space="0" w:color="FFC000"/>
            </w:tcBorders>
            <w:noWrap/>
            <w:hideMark/>
          </w:tcPr>
          <w:p w:rsidR="008C0E31" w:rsidRPr="00E6181A" w:rsidRDefault="008C0E31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Category </w:t>
            </w:r>
            <w:r w:rsidRPr="00C742A0">
              <w:rPr>
                <w:rFonts w:ascii="Corbel" w:eastAsia="Times New Roman" w:hAnsi="Corbel" w:cs="Arial"/>
                <w:noProof/>
                <w:color w:val="000000"/>
                <w:sz w:val="20"/>
                <w:szCs w:val="20"/>
                <w:lang w:val="en-US"/>
              </w:rPr>
              <w:t>A “Innovative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C742A0">
              <w:rPr>
                <w:rFonts w:ascii="Corbel" w:eastAsia="Times New Roman" w:hAnsi="Corbel" w:cs="Arial"/>
                <w:noProof/>
                <w:color w:val="000000"/>
                <w:sz w:val="20"/>
                <w:szCs w:val="20"/>
                <w:lang w:val="en-US"/>
              </w:rPr>
              <w:t>enivironment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: business support, human resources, IT infrastructure and services, research and technology</w:t>
            </w:r>
          </w:p>
        </w:tc>
        <w:tc>
          <w:tcPr>
            <w:tcW w:w="883" w:type="pct"/>
            <w:tcBorders>
              <w:right w:val="single" w:sz="18" w:space="0" w:color="FFC000"/>
            </w:tcBorders>
            <w:noWrap/>
          </w:tcPr>
          <w:p w:rsidR="008C0E31" w:rsidRPr="00E6181A" w:rsidRDefault="008C0E31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25.5%</w:t>
            </w:r>
          </w:p>
        </w:tc>
      </w:tr>
      <w:tr w:rsidR="008C0E31" w:rsidRPr="00E6181A" w:rsidTr="008C0E31">
        <w:trPr>
          <w:trHeight w:val="255"/>
        </w:trPr>
        <w:tc>
          <w:tcPr>
            <w:tcW w:w="4117" w:type="pct"/>
            <w:tcBorders>
              <w:left w:val="single" w:sz="18" w:space="0" w:color="FFC000"/>
            </w:tcBorders>
            <w:noWrap/>
            <w:hideMark/>
          </w:tcPr>
          <w:p w:rsidR="008C0E31" w:rsidRPr="00E6181A" w:rsidRDefault="008C0E31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Category B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 ”Basic infrastructure”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: energy, environment and natural resources, transport infrastructure</w:t>
            </w:r>
          </w:p>
        </w:tc>
        <w:tc>
          <w:tcPr>
            <w:tcW w:w="883" w:type="pct"/>
            <w:tcBorders>
              <w:right w:val="single" w:sz="18" w:space="0" w:color="FFC000"/>
            </w:tcBorders>
            <w:noWrap/>
          </w:tcPr>
          <w:p w:rsidR="008C0E31" w:rsidRPr="00E6181A" w:rsidRDefault="008C0E31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48.0%</w:t>
            </w:r>
          </w:p>
        </w:tc>
      </w:tr>
      <w:tr w:rsidR="008C0E31" w:rsidRPr="00E6181A" w:rsidTr="008C0E31">
        <w:trPr>
          <w:trHeight w:val="255"/>
        </w:trPr>
        <w:tc>
          <w:tcPr>
            <w:tcW w:w="4117" w:type="pct"/>
            <w:tcBorders>
              <w:left w:val="single" w:sz="18" w:space="0" w:color="FFC000"/>
            </w:tcBorders>
            <w:noWrap/>
            <w:hideMark/>
          </w:tcPr>
          <w:p w:rsidR="008C0E31" w:rsidRPr="00E6181A" w:rsidRDefault="008C0E31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Category C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 “Quality of life”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: social infrastructure, tourism and culture, urban and rural regeneration</w:t>
            </w:r>
          </w:p>
        </w:tc>
        <w:tc>
          <w:tcPr>
            <w:tcW w:w="883" w:type="pct"/>
            <w:tcBorders>
              <w:right w:val="single" w:sz="18" w:space="0" w:color="FFC000"/>
            </w:tcBorders>
            <w:noWrap/>
          </w:tcPr>
          <w:p w:rsidR="008C0E31" w:rsidRPr="00E6181A" w:rsidRDefault="008C0E31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22.9%</w:t>
            </w:r>
          </w:p>
        </w:tc>
      </w:tr>
      <w:tr w:rsidR="008C0E31" w:rsidRPr="00E6181A" w:rsidTr="008C0E31">
        <w:trPr>
          <w:trHeight w:val="255"/>
        </w:trPr>
        <w:tc>
          <w:tcPr>
            <w:tcW w:w="4117" w:type="pct"/>
            <w:tcBorders>
              <w:top w:val="single" w:sz="18" w:space="0" w:color="FFC000"/>
              <w:left w:val="single" w:sz="18" w:space="0" w:color="FFC000"/>
              <w:right w:val="nil"/>
            </w:tcBorders>
            <w:shd w:val="clear" w:color="auto" w:fill="FDE9D9" w:themeFill="accent6" w:themeFillTint="33"/>
            <w:noWrap/>
            <w:hideMark/>
          </w:tcPr>
          <w:p w:rsidR="008C0E31" w:rsidRPr="00E6181A" w:rsidRDefault="008C0E31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</w:rPr>
              <w:t>Rate</w:t>
            </w:r>
            <w:proofErr w:type="spellEnd"/>
            <w:r w:rsidRPr="00E6181A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</w:rPr>
              <w:t xml:space="preserve"> of </w:t>
            </w:r>
            <w:proofErr w:type="spellStart"/>
            <w:r w:rsidRPr="00E6181A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</w:rPr>
              <w:t>absorption</w:t>
            </w:r>
            <w:proofErr w:type="spellEnd"/>
            <w:r w:rsidRPr="00E6181A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</w:rPr>
              <w:t xml:space="preserve"> [</w:t>
            </w:r>
            <w:r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</w:rPr>
              <w:t xml:space="preserve">in </w:t>
            </w:r>
            <w:r w:rsidRPr="00E6181A">
              <w:rPr>
                <w:rFonts w:ascii="Corbel" w:eastAsia="Times New Roman" w:hAnsi="Corbel" w:cs="Arial"/>
                <w:b/>
                <w:i/>
                <w:iCs/>
                <w:color w:val="E36C0A" w:themeColor="accent6" w:themeShade="BF"/>
                <w:sz w:val="20"/>
                <w:szCs w:val="20"/>
              </w:rPr>
              <w:t>2014]</w:t>
            </w:r>
          </w:p>
        </w:tc>
        <w:tc>
          <w:tcPr>
            <w:tcW w:w="883" w:type="pct"/>
            <w:tcBorders>
              <w:top w:val="single" w:sz="18" w:space="0" w:color="FFC000"/>
              <w:left w:val="nil"/>
              <w:right w:val="single" w:sz="18" w:space="0" w:color="FFC000"/>
            </w:tcBorders>
            <w:shd w:val="clear" w:color="auto" w:fill="FDE9D9" w:themeFill="accent6" w:themeFillTint="33"/>
          </w:tcPr>
          <w:p w:rsidR="008C0E31" w:rsidRPr="00E6181A" w:rsidRDefault="008C0E31" w:rsidP="00E265F8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</w:p>
        </w:tc>
      </w:tr>
      <w:tr w:rsidR="008C0E31" w:rsidRPr="00E6181A" w:rsidTr="008C0E31">
        <w:trPr>
          <w:trHeight w:val="255"/>
        </w:trPr>
        <w:tc>
          <w:tcPr>
            <w:tcW w:w="4117" w:type="pct"/>
            <w:tcBorders>
              <w:left w:val="single" w:sz="18" w:space="0" w:color="FFC000"/>
            </w:tcBorders>
            <w:noWrap/>
            <w:hideMark/>
          </w:tcPr>
          <w:p w:rsidR="008C0E31" w:rsidRPr="00E6181A" w:rsidRDefault="008C0E31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Category </w:t>
            </w:r>
            <w:r w:rsidRPr="00C742A0">
              <w:rPr>
                <w:rFonts w:ascii="Corbel" w:eastAsia="Times New Roman" w:hAnsi="Corbel" w:cs="Arial"/>
                <w:noProof/>
                <w:color w:val="000000"/>
                <w:sz w:val="20"/>
                <w:szCs w:val="20"/>
                <w:lang w:val="en-US"/>
              </w:rPr>
              <w:t>A “Innovative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C742A0">
              <w:rPr>
                <w:rFonts w:ascii="Corbel" w:eastAsia="Times New Roman" w:hAnsi="Corbel" w:cs="Arial"/>
                <w:noProof/>
                <w:color w:val="000000"/>
                <w:sz w:val="20"/>
                <w:szCs w:val="20"/>
                <w:lang w:val="en-US"/>
              </w:rPr>
              <w:t>enivironment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: business support, human resources, IT infrastructure and services, research and technology</w:t>
            </w:r>
          </w:p>
        </w:tc>
        <w:tc>
          <w:tcPr>
            <w:tcW w:w="883" w:type="pct"/>
            <w:tcBorders>
              <w:right w:val="single" w:sz="18" w:space="0" w:color="FFC000"/>
            </w:tcBorders>
            <w:noWrap/>
          </w:tcPr>
          <w:p w:rsidR="008C0E31" w:rsidRPr="00E6181A" w:rsidRDefault="008C0E31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62.8%</w:t>
            </w:r>
          </w:p>
        </w:tc>
      </w:tr>
      <w:tr w:rsidR="008C0E31" w:rsidRPr="00581C0C" w:rsidTr="008C0E31">
        <w:trPr>
          <w:trHeight w:val="255"/>
        </w:trPr>
        <w:tc>
          <w:tcPr>
            <w:tcW w:w="4117" w:type="pct"/>
            <w:tcBorders>
              <w:left w:val="single" w:sz="18" w:space="0" w:color="FFC000"/>
            </w:tcBorders>
            <w:noWrap/>
            <w:hideMark/>
          </w:tcPr>
          <w:p w:rsidR="008C0E31" w:rsidRPr="00E6181A" w:rsidRDefault="008C0E31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Category B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 ”Basic infrastructure”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: energy, environment and natural resources, transport infrastructure</w:t>
            </w:r>
          </w:p>
        </w:tc>
        <w:tc>
          <w:tcPr>
            <w:tcW w:w="883" w:type="pct"/>
            <w:tcBorders>
              <w:right w:val="single" w:sz="18" w:space="0" w:color="FFC000"/>
            </w:tcBorders>
            <w:noWrap/>
          </w:tcPr>
          <w:p w:rsidR="008C0E31" w:rsidRPr="00581C0C" w:rsidRDefault="008C0E31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58.4%</w:t>
            </w:r>
          </w:p>
        </w:tc>
      </w:tr>
      <w:tr w:rsidR="008C0E31" w:rsidRPr="00581C0C" w:rsidTr="008C0E31">
        <w:trPr>
          <w:trHeight w:val="255"/>
        </w:trPr>
        <w:tc>
          <w:tcPr>
            <w:tcW w:w="4117" w:type="pct"/>
            <w:tcBorders>
              <w:left w:val="single" w:sz="18" w:space="0" w:color="FFC000"/>
              <w:bottom w:val="single" w:sz="18" w:space="0" w:color="FFC000"/>
            </w:tcBorders>
            <w:noWrap/>
            <w:hideMark/>
          </w:tcPr>
          <w:p w:rsidR="008C0E31" w:rsidRPr="00E6181A" w:rsidRDefault="008C0E31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Category C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 xml:space="preserve"> “Quality of life”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: social infrastructure, tourism and culture, urban and rural regeneration</w:t>
            </w:r>
          </w:p>
        </w:tc>
        <w:tc>
          <w:tcPr>
            <w:tcW w:w="883" w:type="pct"/>
            <w:tcBorders>
              <w:bottom w:val="single" w:sz="18" w:space="0" w:color="FFC000"/>
              <w:right w:val="single" w:sz="18" w:space="0" w:color="FFC000"/>
            </w:tcBorders>
            <w:noWrap/>
          </w:tcPr>
          <w:p w:rsidR="008C0E31" w:rsidRPr="00581C0C" w:rsidRDefault="008C0E31" w:rsidP="009B0D0C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75.8%</w:t>
            </w:r>
          </w:p>
        </w:tc>
      </w:tr>
    </w:tbl>
    <w:p w:rsidR="00B51A15" w:rsidRPr="003864D3" w:rsidRDefault="00B51A15" w:rsidP="00B51A15">
      <w:pPr>
        <w:jc w:val="both"/>
        <w:rPr>
          <w:rFonts w:ascii="Corbel" w:eastAsia="MS Mincho" w:hAnsi="Corbel" w:cs="Times New Roman"/>
          <w:noProof/>
          <w:color w:val="404040"/>
          <w:sz w:val="20"/>
          <w:szCs w:val="24"/>
          <w:lang w:val="en-GB" w:eastAsia="ja-JP"/>
        </w:rPr>
      </w:pPr>
      <w:r w:rsidRPr="003864D3">
        <w:rPr>
          <w:rFonts w:ascii="Corbel" w:eastAsia="MS Mincho" w:hAnsi="Corbel" w:cs="Times New Roman"/>
          <w:noProof/>
          <w:color w:val="404040"/>
          <w:sz w:val="20"/>
          <w:szCs w:val="24"/>
          <w:lang w:val="en-GB" w:eastAsia="ja-JP"/>
        </w:rPr>
        <w:t xml:space="preserve">* % of allocation does not add to 1, because the “technical assistance” is not included in any of the categories. </w:t>
      </w:r>
    </w:p>
    <w:p w:rsidR="00F85BAD" w:rsidRDefault="00C742A0" w:rsidP="003C750D">
      <w:pPr>
        <w:jc w:val="both"/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</w:pPr>
      <w:r w:rsidRPr="00C742A0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lastRenderedPageBreak/>
        <w:t>The t</w:t>
      </w:r>
      <w:r w:rsidR="00F85BAD" w:rsidRPr="00C742A0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hematic</w:t>
      </w:r>
      <w:r w:rsidR="00F85BAD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 s</w:t>
      </w:r>
      <w:r w:rsidR="003C750D" w:rsidRPr="009B0D0C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tructure of </w:t>
      </w:r>
      <w:r w:rsidR="002D3CA8">
        <w:rPr>
          <w:rFonts w:ascii="Corbel" w:eastAsia="MS Mincho" w:hAnsi="Corbel" w:cs="Times New Roman"/>
          <w:color w:val="404040"/>
          <w:sz w:val="24"/>
          <w:szCs w:val="24"/>
          <w:lang w:val="en-GB" w:eastAsia="ja-JP"/>
        </w:rPr>
        <w:t xml:space="preserve">allocation of the EU funds shows that the Category B, clustering mainly basic infrastructure investments, has received the largest share of total allocations. The two remaining categories were at a similar level, with allocations of approx. 25% per each. The rates of absorption broken down by themes are quite varied, with the absorption under the Category B lagging behind investments in quality of life by over 20 pp. </w:t>
      </w:r>
    </w:p>
    <w:tbl>
      <w:tblPr>
        <w:tblStyle w:val="Tabela-Siatka"/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6225"/>
        <w:gridCol w:w="42"/>
        <w:gridCol w:w="1805"/>
        <w:gridCol w:w="1844"/>
      </w:tblGrid>
      <w:tr w:rsidR="008C0E31" w:rsidRPr="00E6181A" w:rsidTr="008C0E31">
        <w:trPr>
          <w:trHeight w:val="255"/>
        </w:trPr>
        <w:tc>
          <w:tcPr>
            <w:tcW w:w="3139" w:type="pct"/>
            <w:tcBorders>
              <w:top w:val="single" w:sz="18" w:space="0" w:color="0070C0"/>
              <w:left w:val="single" w:sz="18" w:space="0" w:color="0070C0"/>
              <w:bottom w:val="single" w:sz="18" w:space="0" w:color="0070C0"/>
            </w:tcBorders>
            <w:shd w:val="clear" w:color="auto" w:fill="95B3D7" w:themeFill="accent1" w:themeFillTint="99"/>
            <w:noWrap/>
            <w:hideMark/>
          </w:tcPr>
          <w:p w:rsidR="008C0E31" w:rsidRPr="00837A1D" w:rsidRDefault="008C0E31" w:rsidP="004835EF">
            <w:pPr>
              <w:rPr>
                <w:rFonts w:ascii="Corbel" w:eastAsia="Times New Roman" w:hAnsi="Corbel" w:cs="Arial"/>
                <w:bCs/>
                <w:color w:val="000000"/>
                <w:sz w:val="20"/>
                <w:szCs w:val="20"/>
                <w:lang w:val="en-US"/>
              </w:rPr>
            </w:pPr>
            <w:r w:rsidRPr="00837A1D">
              <w:rPr>
                <w:rFonts w:ascii="Corbel" w:eastAsia="Times New Roman" w:hAnsi="Corbe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Regional OP </w:t>
            </w:r>
            <w:r w:rsidRPr="00837A1D">
              <w:rPr>
                <w:rFonts w:ascii="Corbel" w:eastAsia="Times New Roman" w:hAnsi="Corbel" w:cs="Arial"/>
                <w:bCs/>
                <w:color w:val="000000"/>
                <w:sz w:val="20"/>
                <w:szCs w:val="20"/>
                <w:lang w:val="en-US"/>
              </w:rPr>
              <w:t>[ERDF</w:t>
            </w:r>
            <w:r w:rsidR="00E07829">
              <w:rPr>
                <w:rFonts w:ascii="Corbel" w:eastAsia="Times New Roman" w:hAnsi="Corbel" w:cs="Arial"/>
                <w:bCs/>
                <w:color w:val="000000"/>
                <w:sz w:val="20"/>
                <w:szCs w:val="20"/>
                <w:lang w:val="en-US"/>
              </w:rPr>
              <w:t>+CF</w:t>
            </w:r>
            <w:r w:rsidRPr="00837A1D">
              <w:rPr>
                <w:rFonts w:ascii="Corbel" w:eastAsia="Times New Roman" w:hAnsi="Corbel" w:cs="Arial"/>
                <w:bCs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931" w:type="pct"/>
            <w:gridSpan w:val="2"/>
            <w:tcBorders>
              <w:top w:val="single" w:sz="18" w:space="0" w:color="0070C0"/>
              <w:bottom w:val="single" w:sz="18" w:space="0" w:color="0070C0"/>
            </w:tcBorders>
            <w:shd w:val="clear" w:color="auto" w:fill="95B3D7" w:themeFill="accent1" w:themeFillTint="99"/>
            <w:noWrap/>
            <w:hideMark/>
          </w:tcPr>
          <w:p w:rsidR="008C0E31" w:rsidRPr="00837A1D" w:rsidRDefault="008C0E31" w:rsidP="009B0D0C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b/>
                <w:color w:val="000000"/>
                <w:sz w:val="20"/>
                <w:szCs w:val="20"/>
                <w:lang w:val="en-US"/>
              </w:rPr>
              <w:t>Cyprus</w:t>
            </w:r>
          </w:p>
        </w:tc>
        <w:tc>
          <w:tcPr>
            <w:tcW w:w="930" w:type="pct"/>
            <w:tcBorders>
              <w:top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95B3D7" w:themeFill="accent1" w:themeFillTint="99"/>
            <w:noWrap/>
            <w:hideMark/>
          </w:tcPr>
          <w:p w:rsidR="008C0E31" w:rsidRPr="00E6181A" w:rsidRDefault="008C0E31" w:rsidP="009B0D0C">
            <w:pPr>
              <w:jc w:val="center"/>
              <w:rPr>
                <w:rFonts w:ascii="Corbel" w:eastAsia="Times New Roman" w:hAnsi="Corbel" w:cs="Arial"/>
                <w:b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b/>
                <w:color w:val="000000"/>
                <w:sz w:val="20"/>
                <w:szCs w:val="20"/>
              </w:rPr>
              <w:t>Unit</w:t>
            </w:r>
          </w:p>
        </w:tc>
      </w:tr>
      <w:tr w:rsidR="008C0E31" w:rsidRPr="00E6181A" w:rsidTr="008C0E31">
        <w:trPr>
          <w:trHeight w:val="255"/>
        </w:trPr>
        <w:tc>
          <w:tcPr>
            <w:tcW w:w="3160" w:type="pct"/>
            <w:gridSpan w:val="2"/>
            <w:tcBorders>
              <w:top w:val="single" w:sz="18" w:space="0" w:color="0070C0"/>
              <w:left w:val="single" w:sz="18" w:space="0" w:color="0070C0"/>
              <w:right w:val="nil"/>
            </w:tcBorders>
            <w:shd w:val="clear" w:color="auto" w:fill="DBE5F1" w:themeFill="accent1" w:themeFillTint="33"/>
            <w:noWrap/>
            <w:hideMark/>
          </w:tcPr>
          <w:p w:rsidR="008C0E31" w:rsidRPr="00E6181A" w:rsidRDefault="008C0E31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 w:rsidRPr="00E6181A"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</w:rPr>
              <w:t>Allocations</w:t>
            </w:r>
            <w:proofErr w:type="spellEnd"/>
            <w:r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</w:rPr>
              <w:t>Regional</w:t>
            </w:r>
            <w:proofErr w:type="spellEnd"/>
            <w:r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</w:rPr>
              <w:t>OPs</w:t>
            </w:r>
            <w:proofErr w:type="spellEnd"/>
          </w:p>
        </w:tc>
        <w:tc>
          <w:tcPr>
            <w:tcW w:w="1840" w:type="pct"/>
            <w:gridSpan w:val="2"/>
            <w:tcBorders>
              <w:top w:val="single" w:sz="18" w:space="0" w:color="0070C0"/>
              <w:left w:val="nil"/>
              <w:right w:val="single" w:sz="18" w:space="0" w:color="0070C0"/>
            </w:tcBorders>
            <w:shd w:val="clear" w:color="auto" w:fill="DBE5F1" w:themeFill="accent1" w:themeFillTint="33"/>
          </w:tcPr>
          <w:p w:rsidR="008C0E31" w:rsidRPr="00E6181A" w:rsidRDefault="008C0E31" w:rsidP="00E265F8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</w:p>
        </w:tc>
      </w:tr>
      <w:tr w:rsidR="008C0E31" w:rsidRPr="00E6181A" w:rsidTr="008C0E31">
        <w:trPr>
          <w:trHeight w:val="255"/>
        </w:trPr>
        <w:tc>
          <w:tcPr>
            <w:tcW w:w="3139" w:type="pct"/>
            <w:tcBorders>
              <w:left w:val="single" w:sz="18" w:space="0" w:color="0070C0"/>
            </w:tcBorders>
            <w:noWrap/>
            <w:hideMark/>
          </w:tcPr>
          <w:p w:rsidR="008C0E31" w:rsidRPr="00E6181A" w:rsidRDefault="008C0E31" w:rsidP="003946EE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A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llocation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2007-2013</w:t>
            </w:r>
          </w:p>
        </w:tc>
        <w:tc>
          <w:tcPr>
            <w:tcW w:w="931" w:type="pct"/>
            <w:gridSpan w:val="2"/>
            <w:noWrap/>
          </w:tcPr>
          <w:p w:rsidR="008C0E31" w:rsidRPr="00E6181A" w:rsidRDefault="008C0E31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574.4</w:t>
            </w:r>
          </w:p>
        </w:tc>
        <w:tc>
          <w:tcPr>
            <w:tcW w:w="930" w:type="pct"/>
            <w:tcBorders>
              <w:right w:val="single" w:sz="18" w:space="0" w:color="0070C0"/>
            </w:tcBorders>
            <w:noWrap/>
            <w:hideMark/>
          </w:tcPr>
          <w:p w:rsidR="008C0E31" w:rsidRPr="00E6181A" w:rsidRDefault="008C0E31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mln EUR</w:t>
            </w:r>
          </w:p>
        </w:tc>
      </w:tr>
      <w:tr w:rsidR="008C0E31" w:rsidRPr="00E6181A" w:rsidTr="008C0E31">
        <w:trPr>
          <w:trHeight w:val="255"/>
        </w:trPr>
        <w:tc>
          <w:tcPr>
            <w:tcW w:w="3139" w:type="pct"/>
            <w:tcBorders>
              <w:left w:val="single" w:sz="18" w:space="0" w:color="0070C0"/>
            </w:tcBorders>
            <w:noWrap/>
            <w:hideMark/>
          </w:tcPr>
          <w:p w:rsidR="008C0E31" w:rsidRPr="00E6181A" w:rsidRDefault="008C0E31" w:rsidP="003946EE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A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llocation</w:t>
            </w:r>
            <w:proofErr w:type="spellEnd"/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2014-2020</w:t>
            </w:r>
          </w:p>
        </w:tc>
        <w:tc>
          <w:tcPr>
            <w:tcW w:w="931" w:type="pct"/>
            <w:gridSpan w:val="2"/>
            <w:noWrap/>
          </w:tcPr>
          <w:p w:rsidR="008C0E31" w:rsidRPr="00E6181A" w:rsidRDefault="008C0E31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561.6</w:t>
            </w:r>
          </w:p>
        </w:tc>
        <w:tc>
          <w:tcPr>
            <w:tcW w:w="930" w:type="pct"/>
            <w:tcBorders>
              <w:right w:val="single" w:sz="18" w:space="0" w:color="0070C0"/>
            </w:tcBorders>
            <w:noWrap/>
            <w:hideMark/>
          </w:tcPr>
          <w:p w:rsidR="008C0E31" w:rsidRPr="00E6181A" w:rsidRDefault="008C0E31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mln EUR</w:t>
            </w:r>
          </w:p>
        </w:tc>
      </w:tr>
      <w:tr w:rsidR="008C0E31" w:rsidRPr="00E6181A" w:rsidTr="008C0E31">
        <w:trPr>
          <w:trHeight w:val="255"/>
        </w:trPr>
        <w:tc>
          <w:tcPr>
            <w:tcW w:w="3139" w:type="pct"/>
            <w:tcBorders>
              <w:left w:val="single" w:sz="18" w:space="0" w:color="0070C0"/>
            </w:tcBorders>
            <w:noWrap/>
            <w:hideMark/>
          </w:tcPr>
          <w:p w:rsidR="008C0E31" w:rsidRPr="00E6181A" w:rsidRDefault="008C0E31" w:rsidP="003946EE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Ratio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[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period 2014-2020 to 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20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07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-20</w:t>
            </w: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13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931" w:type="pct"/>
            <w:gridSpan w:val="2"/>
            <w:noWrap/>
          </w:tcPr>
          <w:p w:rsidR="008C0E31" w:rsidRPr="00E6181A" w:rsidRDefault="008C0E31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30" w:type="pct"/>
            <w:tcBorders>
              <w:right w:val="single" w:sz="18" w:space="0" w:color="0070C0"/>
            </w:tcBorders>
            <w:noWrap/>
            <w:hideMark/>
          </w:tcPr>
          <w:p w:rsidR="008C0E31" w:rsidRPr="00E6181A" w:rsidRDefault="008C0E31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ratio</w:t>
            </w:r>
          </w:p>
        </w:tc>
      </w:tr>
      <w:tr w:rsidR="008C0E31" w:rsidRPr="00CC67CC" w:rsidTr="008C0E31">
        <w:trPr>
          <w:trHeight w:val="255"/>
        </w:trPr>
        <w:tc>
          <w:tcPr>
            <w:tcW w:w="3160" w:type="pct"/>
            <w:gridSpan w:val="2"/>
            <w:tcBorders>
              <w:top w:val="single" w:sz="18" w:space="0" w:color="0070C0"/>
              <w:left w:val="single" w:sz="18" w:space="0" w:color="0070C0"/>
              <w:right w:val="nil"/>
            </w:tcBorders>
            <w:shd w:val="clear" w:color="auto" w:fill="DBE5F1" w:themeFill="accent1" w:themeFillTint="33"/>
            <w:noWrap/>
            <w:hideMark/>
          </w:tcPr>
          <w:p w:rsidR="008C0E31" w:rsidRPr="004A7819" w:rsidRDefault="008C0E31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4A7819"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  <w:lang w:val="en-US"/>
              </w:rPr>
              <w:t>Reported achievements</w:t>
            </w:r>
            <w:r w:rsidR="00D92147"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  <w:lang w:val="en-US"/>
              </w:rPr>
              <w:t>:</w:t>
            </w:r>
            <w:r w:rsidRPr="004A7819">
              <w:rPr>
                <w:rFonts w:ascii="Corbel" w:eastAsia="Times New Roman" w:hAnsi="Corbel" w:cs="Arial"/>
                <w:b/>
                <w:i/>
                <w:iCs/>
                <w:color w:val="17365D" w:themeColor="text2" w:themeShade="BF"/>
                <w:sz w:val="20"/>
                <w:szCs w:val="20"/>
                <w:lang w:val="en-US"/>
              </w:rPr>
              <w:t xml:space="preserve"> period 2007-2013  [as in 2013]</w:t>
            </w:r>
          </w:p>
        </w:tc>
        <w:tc>
          <w:tcPr>
            <w:tcW w:w="1840" w:type="pct"/>
            <w:gridSpan w:val="2"/>
            <w:tcBorders>
              <w:top w:val="single" w:sz="18" w:space="0" w:color="0070C0"/>
              <w:left w:val="nil"/>
              <w:right w:val="single" w:sz="18" w:space="0" w:color="0070C0"/>
            </w:tcBorders>
            <w:shd w:val="clear" w:color="auto" w:fill="DBE5F1" w:themeFill="accent1" w:themeFillTint="33"/>
          </w:tcPr>
          <w:p w:rsidR="008C0E31" w:rsidRPr="004A7819" w:rsidRDefault="008C0E31" w:rsidP="00E265F8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C0E31" w:rsidRPr="00E6181A" w:rsidTr="008C0E31">
        <w:trPr>
          <w:trHeight w:val="255"/>
        </w:trPr>
        <w:tc>
          <w:tcPr>
            <w:tcW w:w="3139" w:type="pct"/>
            <w:tcBorders>
              <w:left w:val="single" w:sz="18" w:space="0" w:color="0070C0"/>
            </w:tcBorders>
            <w:noWrap/>
            <w:hideMark/>
          </w:tcPr>
          <w:p w:rsidR="008C0E31" w:rsidRPr="00E6181A" w:rsidRDefault="00D92147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D92147">
              <w:rPr>
                <w:rFonts w:ascii="Corbel" w:eastAsia="Times New Roman" w:hAnsi="Corbel" w:cs="Arial"/>
                <w:color w:val="000000"/>
                <w:sz w:val="20"/>
                <w:szCs w:val="20"/>
                <w:lang w:val="en-GB"/>
              </w:rPr>
              <w:t>Aggregated</w:t>
            </w:r>
            <w:r w:rsidR="008C0E31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C0E31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jobs</w:t>
            </w:r>
            <w:proofErr w:type="spellEnd"/>
          </w:p>
        </w:tc>
        <w:tc>
          <w:tcPr>
            <w:tcW w:w="931" w:type="pct"/>
            <w:gridSpan w:val="2"/>
            <w:noWrap/>
          </w:tcPr>
          <w:p w:rsidR="008C0E31" w:rsidRPr="00E6181A" w:rsidRDefault="008C0E31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2185</w:t>
            </w:r>
          </w:p>
        </w:tc>
        <w:tc>
          <w:tcPr>
            <w:tcW w:w="930" w:type="pct"/>
            <w:tcBorders>
              <w:right w:val="single" w:sz="18" w:space="0" w:color="0070C0"/>
            </w:tcBorders>
            <w:noWrap/>
            <w:hideMark/>
          </w:tcPr>
          <w:p w:rsidR="008C0E31" w:rsidRPr="00E6181A" w:rsidRDefault="008C0E31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j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obs</w:t>
            </w:r>
            <w:proofErr w:type="spellEnd"/>
          </w:p>
        </w:tc>
      </w:tr>
      <w:tr w:rsidR="008C0E31" w:rsidRPr="00E6181A" w:rsidTr="008C0E31">
        <w:trPr>
          <w:trHeight w:val="255"/>
        </w:trPr>
        <w:tc>
          <w:tcPr>
            <w:tcW w:w="3139" w:type="pct"/>
            <w:tcBorders>
              <w:left w:val="single" w:sz="18" w:space="0" w:color="0070C0"/>
            </w:tcBorders>
            <w:noWrap/>
          </w:tcPr>
          <w:p w:rsidR="008C0E31" w:rsidRPr="00921C6E" w:rsidRDefault="008C0E31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Research jobs created</w:t>
            </w:r>
          </w:p>
        </w:tc>
        <w:tc>
          <w:tcPr>
            <w:tcW w:w="931" w:type="pct"/>
            <w:gridSpan w:val="2"/>
            <w:noWrap/>
          </w:tcPr>
          <w:p w:rsidR="008C0E31" w:rsidRPr="00921C6E" w:rsidRDefault="008A39C8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568</w:t>
            </w:r>
          </w:p>
        </w:tc>
        <w:tc>
          <w:tcPr>
            <w:tcW w:w="930" w:type="pct"/>
            <w:tcBorders>
              <w:right w:val="single" w:sz="18" w:space="0" w:color="0070C0"/>
            </w:tcBorders>
            <w:noWrap/>
          </w:tcPr>
          <w:p w:rsidR="008C0E31" w:rsidRDefault="008A39C8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jobs</w:t>
            </w:r>
            <w:proofErr w:type="spellEnd"/>
          </w:p>
        </w:tc>
      </w:tr>
      <w:tr w:rsidR="008C0E31" w:rsidRPr="00E6181A" w:rsidTr="00F65279">
        <w:trPr>
          <w:trHeight w:val="255"/>
        </w:trPr>
        <w:tc>
          <w:tcPr>
            <w:tcW w:w="3139" w:type="pct"/>
            <w:tcBorders>
              <w:left w:val="single" w:sz="18" w:space="0" w:color="0070C0"/>
            </w:tcBorders>
            <w:noWrap/>
            <w:hideMark/>
          </w:tcPr>
          <w:p w:rsidR="008C0E31" w:rsidRPr="00E6181A" w:rsidRDefault="00E07829" w:rsidP="00F65279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New or r</w:t>
            </w:r>
            <w:r w:rsidR="008C0E31"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econstructed roads</w:t>
            </w:r>
          </w:p>
        </w:tc>
        <w:tc>
          <w:tcPr>
            <w:tcW w:w="931" w:type="pct"/>
            <w:gridSpan w:val="2"/>
            <w:noWrap/>
          </w:tcPr>
          <w:p w:rsidR="008C0E31" w:rsidRPr="00E6181A" w:rsidRDefault="00E07829" w:rsidP="00F65279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930" w:type="pct"/>
            <w:tcBorders>
              <w:right w:val="single" w:sz="18" w:space="0" w:color="0070C0"/>
            </w:tcBorders>
            <w:noWrap/>
            <w:hideMark/>
          </w:tcPr>
          <w:p w:rsidR="008C0E31" w:rsidRPr="00E6181A" w:rsidRDefault="008C0E31" w:rsidP="00F65279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km</w:t>
            </w:r>
          </w:p>
        </w:tc>
      </w:tr>
      <w:tr w:rsidR="008C0E31" w:rsidRPr="008A39C8" w:rsidTr="008C0E31">
        <w:trPr>
          <w:trHeight w:val="255"/>
        </w:trPr>
        <w:tc>
          <w:tcPr>
            <w:tcW w:w="3139" w:type="pct"/>
            <w:tcBorders>
              <w:left w:val="single" w:sz="18" w:space="0" w:color="0070C0"/>
            </w:tcBorders>
            <w:noWrap/>
          </w:tcPr>
          <w:p w:rsidR="008C0E31" w:rsidRPr="00921C6E" w:rsidRDefault="008A39C8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 w:rsidRPr="008A39C8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Number of beds upgraded in tourist establishments</w:t>
            </w:r>
          </w:p>
        </w:tc>
        <w:tc>
          <w:tcPr>
            <w:tcW w:w="931" w:type="pct"/>
            <w:gridSpan w:val="2"/>
            <w:noWrap/>
          </w:tcPr>
          <w:p w:rsidR="008C0E31" w:rsidRPr="00921C6E" w:rsidRDefault="008A39C8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1225</w:t>
            </w:r>
          </w:p>
        </w:tc>
        <w:tc>
          <w:tcPr>
            <w:tcW w:w="930" w:type="pct"/>
            <w:tcBorders>
              <w:right w:val="single" w:sz="18" w:space="0" w:color="0070C0"/>
            </w:tcBorders>
            <w:noWrap/>
          </w:tcPr>
          <w:p w:rsidR="008C0E31" w:rsidRPr="008A39C8" w:rsidRDefault="008A39C8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beds</w:t>
            </w:r>
          </w:p>
        </w:tc>
      </w:tr>
      <w:tr w:rsidR="008C0E31" w:rsidRPr="00E6181A" w:rsidTr="008C0E31">
        <w:trPr>
          <w:trHeight w:val="255"/>
        </w:trPr>
        <w:tc>
          <w:tcPr>
            <w:tcW w:w="3139" w:type="pct"/>
            <w:tcBorders>
              <w:left w:val="single" w:sz="18" w:space="0" w:color="0070C0"/>
              <w:bottom w:val="single" w:sz="18" w:space="0" w:color="0070C0"/>
            </w:tcBorders>
            <w:noWrap/>
            <w:hideMark/>
          </w:tcPr>
          <w:p w:rsidR="008C0E31" w:rsidRPr="00E6181A" w:rsidRDefault="008C0E31" w:rsidP="003946EE">
            <w:pP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D</w:t>
            </w:r>
            <w:r w:rsidRPr="00E6181A"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irect investment aid projects to SME</w:t>
            </w:r>
          </w:p>
        </w:tc>
        <w:tc>
          <w:tcPr>
            <w:tcW w:w="931" w:type="pct"/>
            <w:gridSpan w:val="2"/>
            <w:tcBorders>
              <w:bottom w:val="single" w:sz="18" w:space="0" w:color="0070C0"/>
            </w:tcBorders>
            <w:noWrap/>
          </w:tcPr>
          <w:p w:rsidR="008C0E31" w:rsidRPr="00581C0C" w:rsidRDefault="008A39C8" w:rsidP="004835EF">
            <w:pPr>
              <w:jc w:val="right"/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US"/>
              </w:rPr>
              <w:t>218</w:t>
            </w:r>
          </w:p>
        </w:tc>
        <w:tc>
          <w:tcPr>
            <w:tcW w:w="930" w:type="pct"/>
            <w:tcBorders>
              <w:bottom w:val="single" w:sz="18" w:space="0" w:color="0070C0"/>
              <w:right w:val="single" w:sz="18" w:space="0" w:color="0070C0"/>
            </w:tcBorders>
            <w:noWrap/>
            <w:hideMark/>
          </w:tcPr>
          <w:p w:rsidR="008C0E31" w:rsidRPr="00E6181A" w:rsidRDefault="008C0E31" w:rsidP="004835EF">
            <w:pPr>
              <w:rPr>
                <w:rFonts w:ascii="Corbel" w:eastAsia="Times New Roman" w:hAnsi="Corbe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rbel" w:eastAsia="Times New Roman" w:hAnsi="Corbel" w:cs="Arial"/>
                <w:color w:val="000000"/>
                <w:sz w:val="20"/>
                <w:szCs w:val="20"/>
              </w:rPr>
              <w:t>number</w:t>
            </w:r>
            <w:proofErr w:type="spellEnd"/>
          </w:p>
        </w:tc>
      </w:tr>
    </w:tbl>
    <w:p w:rsidR="003C750D" w:rsidRDefault="003C750D" w:rsidP="00E6181A">
      <w:pPr>
        <w:spacing w:after="160" w:line="240" w:lineRule="auto"/>
        <w:jc w:val="both"/>
        <w:rPr>
          <w:rFonts w:ascii="Corbel" w:eastAsia="MS Mincho" w:hAnsi="Corbel" w:cs="Times New Roman"/>
          <w:color w:val="404040"/>
          <w:lang w:val="en-GB" w:eastAsia="ja-JP"/>
        </w:rPr>
      </w:pPr>
    </w:p>
    <w:p w:rsidR="003C750D" w:rsidRPr="00E07829" w:rsidRDefault="002D3CA8" w:rsidP="003C750D">
      <w:pPr>
        <w:jc w:val="both"/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</w:pPr>
      <w:r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In both programming periods included in the table above Cyprus channelled all its funding through only one operational programme. Total allocations to these </w:t>
      </w:r>
      <w:r w:rsidR="00D92147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two subsequent </w:t>
      </w:r>
      <w:r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programs </w:t>
      </w:r>
      <w:r w:rsidR="00D92147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>are</w:t>
      </w:r>
      <w:r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 quite stable over both programming periods, with only a minor decrease experienced in the 2014-2020 period. </w:t>
      </w:r>
      <w:r w:rsidR="00E07829">
        <w:rPr>
          <w:rFonts w:ascii="Corbel" w:eastAsia="MS Mincho" w:hAnsi="Corbel" w:cs="Times New Roman"/>
          <w:noProof/>
          <w:color w:val="404040"/>
          <w:sz w:val="24"/>
          <w:szCs w:val="24"/>
          <w:lang w:val="en-GB" w:eastAsia="ja-JP"/>
        </w:rPr>
        <w:t xml:space="preserve">The reported achievements show that despite the relatively high share of funds directed to basic infrastructure, only 6 km of new or reconstructed roads was build as a result of implementation of the 2007-2013 OP.  Among jobs created approx. 25% were research jobs . </w:t>
      </w:r>
    </w:p>
    <w:p w:rsidR="003C750D" w:rsidRPr="00E6181A" w:rsidRDefault="003C750D" w:rsidP="00E6181A">
      <w:pPr>
        <w:spacing w:after="160" w:line="240" w:lineRule="auto"/>
        <w:jc w:val="both"/>
        <w:rPr>
          <w:rFonts w:ascii="Corbel" w:eastAsia="MS Mincho" w:hAnsi="Corbel" w:cs="Times New Roman"/>
          <w:color w:val="404040"/>
          <w:lang w:val="en-GB" w:eastAsia="ja-JP"/>
        </w:rPr>
      </w:pPr>
    </w:p>
    <w:sectPr w:rsidR="003C750D" w:rsidRPr="00E6181A" w:rsidSect="003C750D">
      <w:headerReference w:type="default" r:id="rId8"/>
      <w:footerReference w:type="default" r:id="rId9"/>
      <w:pgSz w:w="11906" w:h="16838"/>
      <w:pgMar w:top="1843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7C2" w:rsidRDefault="006C17C2" w:rsidP="008070D0">
      <w:pPr>
        <w:spacing w:after="0" w:line="240" w:lineRule="auto"/>
      </w:pPr>
      <w:r>
        <w:separator/>
      </w:r>
    </w:p>
  </w:endnote>
  <w:endnote w:type="continuationSeparator" w:id="0">
    <w:p w:rsidR="006C17C2" w:rsidRDefault="006C17C2" w:rsidP="0080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D0" w:rsidRPr="008070D0" w:rsidRDefault="008070D0" w:rsidP="008070D0">
    <w:pPr>
      <w:ind w:left="1134"/>
      <w:rPr>
        <w:rFonts w:cs="Arial"/>
        <w:sz w:val="18"/>
        <w:szCs w:val="18"/>
        <w:lang w:val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-108610</wp:posOffset>
          </wp:positionH>
          <wp:positionV relativeFrom="paragraph">
            <wp:posOffset>6828</wp:posOffset>
          </wp:positionV>
          <wp:extent cx="577702" cy="380010"/>
          <wp:effectExtent l="19050" t="0" r="0" b="0"/>
          <wp:wrapNone/>
          <wp:docPr id="7" name="Image 3" descr="Macintosh HD:Users:Sara:Dropbox:DOCS w Reynald:COHESIFY: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Macintosh HD:Users:Sara:Dropbox:DOCS w Reynald:COHESIFY:flag_yellow_hig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702" cy="38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-1974850</wp:posOffset>
          </wp:positionH>
          <wp:positionV relativeFrom="paragraph">
            <wp:posOffset>815340</wp:posOffset>
          </wp:positionV>
          <wp:extent cx="8604250" cy="342900"/>
          <wp:effectExtent l="0" t="0" r="6350" b="0"/>
          <wp:wrapNone/>
          <wp:docPr id="9" name="Picture 5" descr="Macintosh HD:Users:SARA:Dropbox:DOCS w/ Reynald:COHESIFY:footer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SARA:Dropbox:DOCS w/ Reynald:COHESIFY:footer 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070D0">
      <w:rPr>
        <w:sz w:val="18"/>
        <w:szCs w:val="18"/>
        <w:lang w:val="en-US"/>
      </w:rPr>
      <w:t xml:space="preserve">The COHESIFY project (February 2016-April 2018) has received funding from the European Union’s Horizon 2020 research and innovation </w:t>
    </w:r>
    <w:proofErr w:type="spellStart"/>
    <w:r w:rsidRPr="008070D0">
      <w:rPr>
        <w:sz w:val="18"/>
        <w:szCs w:val="18"/>
        <w:lang w:val="en-US"/>
      </w:rPr>
      <w:t>programme</w:t>
    </w:r>
    <w:proofErr w:type="spellEnd"/>
    <w:r w:rsidRPr="008070D0">
      <w:rPr>
        <w:sz w:val="18"/>
        <w:szCs w:val="18"/>
        <w:lang w:val="en-US"/>
      </w:rPr>
      <w:t xml:space="preserve"> under grant agreement No. 693127</w:t>
    </w:r>
  </w:p>
  <w:p w:rsidR="008070D0" w:rsidRPr="008070D0" w:rsidRDefault="008070D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7C2" w:rsidRDefault="006C17C2" w:rsidP="008070D0">
      <w:pPr>
        <w:spacing w:after="0" w:line="240" w:lineRule="auto"/>
      </w:pPr>
      <w:r>
        <w:separator/>
      </w:r>
    </w:p>
  </w:footnote>
  <w:footnote w:type="continuationSeparator" w:id="0">
    <w:p w:rsidR="006C17C2" w:rsidRDefault="006C17C2" w:rsidP="00807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D0" w:rsidRDefault="00D92147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5E8C495" wp14:editId="0DCA50F6">
          <wp:simplePos x="0" y="0"/>
          <wp:positionH relativeFrom="column">
            <wp:posOffset>4337114</wp:posOffset>
          </wp:positionH>
          <wp:positionV relativeFrom="paragraph">
            <wp:posOffset>-364741</wp:posOffset>
          </wp:positionV>
          <wp:extent cx="2295525" cy="1021509"/>
          <wp:effectExtent l="0" t="0" r="0" b="0"/>
          <wp:wrapNone/>
          <wp:docPr id="1" name="Obraz 1" descr="C:\Users\Gaba\AppData\Local\Temp\Cohesify-logo-horizontal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a\AppData\Local\Temp\Cohesify-logo-horizontal-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1021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m Ploszaj">
    <w15:presenceInfo w15:providerId="Windows Live" w15:userId="068e2a2a156054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Q0NTCwNDY1MTM1N7ZQ0lEKTi0uzszPAykwqgUA/uUedywAAAA="/>
  </w:docVars>
  <w:rsids>
    <w:rsidRoot w:val="00A56F2A"/>
    <w:rsid w:val="00020410"/>
    <w:rsid w:val="00041C48"/>
    <w:rsid w:val="00094052"/>
    <w:rsid w:val="000D7DAE"/>
    <w:rsid w:val="000E6E42"/>
    <w:rsid w:val="001270D4"/>
    <w:rsid w:val="00127195"/>
    <w:rsid w:val="001F3B79"/>
    <w:rsid w:val="00211151"/>
    <w:rsid w:val="00221148"/>
    <w:rsid w:val="00227060"/>
    <w:rsid w:val="00251FE3"/>
    <w:rsid w:val="00262AC8"/>
    <w:rsid w:val="00294768"/>
    <w:rsid w:val="002D268A"/>
    <w:rsid w:val="002D3CA8"/>
    <w:rsid w:val="00303CBA"/>
    <w:rsid w:val="00386949"/>
    <w:rsid w:val="003946EE"/>
    <w:rsid w:val="003B331E"/>
    <w:rsid w:val="003C750D"/>
    <w:rsid w:val="003E4D75"/>
    <w:rsid w:val="003E7766"/>
    <w:rsid w:val="00416766"/>
    <w:rsid w:val="00451674"/>
    <w:rsid w:val="004A7819"/>
    <w:rsid w:val="004B7124"/>
    <w:rsid w:val="00581C0C"/>
    <w:rsid w:val="00680019"/>
    <w:rsid w:val="006C17C2"/>
    <w:rsid w:val="006E4D55"/>
    <w:rsid w:val="006E78F8"/>
    <w:rsid w:val="006E7FD8"/>
    <w:rsid w:val="00795B0F"/>
    <w:rsid w:val="008070D0"/>
    <w:rsid w:val="00837A1D"/>
    <w:rsid w:val="008A2D04"/>
    <w:rsid w:val="008A39C8"/>
    <w:rsid w:val="008C0E31"/>
    <w:rsid w:val="00921C6E"/>
    <w:rsid w:val="009B0D0C"/>
    <w:rsid w:val="009F5B5E"/>
    <w:rsid w:val="00A56F2A"/>
    <w:rsid w:val="00AD5513"/>
    <w:rsid w:val="00B51A15"/>
    <w:rsid w:val="00BA7E8E"/>
    <w:rsid w:val="00C201C3"/>
    <w:rsid w:val="00C27C6F"/>
    <w:rsid w:val="00C742A0"/>
    <w:rsid w:val="00CA0E0A"/>
    <w:rsid w:val="00CC67CC"/>
    <w:rsid w:val="00CD704C"/>
    <w:rsid w:val="00D066FD"/>
    <w:rsid w:val="00D92147"/>
    <w:rsid w:val="00DA6AF4"/>
    <w:rsid w:val="00E07829"/>
    <w:rsid w:val="00E07ADD"/>
    <w:rsid w:val="00E265F8"/>
    <w:rsid w:val="00E6181A"/>
    <w:rsid w:val="00E64D4C"/>
    <w:rsid w:val="00E95825"/>
    <w:rsid w:val="00EC02F9"/>
    <w:rsid w:val="00F0456E"/>
    <w:rsid w:val="00F14E25"/>
    <w:rsid w:val="00F269AC"/>
    <w:rsid w:val="00F8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61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vl1Heading">
    <w:name w:val="lvl1 Heading"/>
    <w:basedOn w:val="Nagwek1"/>
    <w:next w:val="Normalny"/>
    <w:autoRedefine/>
    <w:qFormat/>
    <w:rsid w:val="00E6181A"/>
    <w:pPr>
      <w:spacing w:line="240" w:lineRule="auto"/>
      <w:ind w:left="360" w:hanging="360"/>
      <w:jc w:val="both"/>
    </w:pPr>
    <w:rPr>
      <w:rFonts w:ascii="Century Gothic" w:eastAsia="MS Gothic" w:hAnsi="Century Gothic" w:cs="Arial"/>
      <w:bCs w:val="0"/>
      <w:noProof/>
      <w:color w:val="455783"/>
      <w:kern w:val="24"/>
      <w:szCs w:val="72"/>
      <w:lang w:val="en-GB"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E61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D0"/>
  </w:style>
  <w:style w:type="paragraph" w:styleId="Stopka">
    <w:name w:val="footer"/>
    <w:basedOn w:val="Normalny"/>
    <w:link w:val="StopkaZnak"/>
    <w:uiPriority w:val="99"/>
    <w:unhideWhenUsed/>
    <w:rsid w:val="0080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D0"/>
  </w:style>
  <w:style w:type="paragraph" w:styleId="Bezodstpw">
    <w:name w:val="No Spacing"/>
    <w:uiPriority w:val="1"/>
    <w:qFormat/>
    <w:rsid w:val="003C750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1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61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vl1Heading">
    <w:name w:val="lvl1 Heading"/>
    <w:basedOn w:val="Nagwek1"/>
    <w:next w:val="Normalny"/>
    <w:autoRedefine/>
    <w:qFormat/>
    <w:rsid w:val="00E6181A"/>
    <w:pPr>
      <w:spacing w:line="240" w:lineRule="auto"/>
      <w:ind w:left="360" w:hanging="360"/>
      <w:jc w:val="both"/>
    </w:pPr>
    <w:rPr>
      <w:rFonts w:ascii="Century Gothic" w:eastAsia="MS Gothic" w:hAnsi="Century Gothic" w:cs="Arial"/>
      <w:bCs w:val="0"/>
      <w:noProof/>
      <w:color w:val="455783"/>
      <w:kern w:val="24"/>
      <w:szCs w:val="72"/>
      <w:lang w:val="en-GB"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E61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D0"/>
  </w:style>
  <w:style w:type="paragraph" w:styleId="Stopka">
    <w:name w:val="footer"/>
    <w:basedOn w:val="Normalny"/>
    <w:link w:val="StopkaZnak"/>
    <w:uiPriority w:val="99"/>
    <w:unhideWhenUsed/>
    <w:rsid w:val="00807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D0"/>
  </w:style>
  <w:style w:type="paragraph" w:styleId="Bezodstpw">
    <w:name w:val="No Spacing"/>
    <w:uiPriority w:val="1"/>
    <w:qFormat/>
    <w:rsid w:val="003C750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3C908-AE1A-476B-919F-22F72095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Galdámez Muñoz</dc:creator>
  <cp:lastModifiedBy>Gabriela Galdámez Muñoz</cp:lastModifiedBy>
  <cp:revision>3</cp:revision>
  <dcterms:created xsi:type="dcterms:W3CDTF">2017-02-24T13:57:00Z</dcterms:created>
  <dcterms:modified xsi:type="dcterms:W3CDTF">2017-02-27T21:52:00Z</dcterms:modified>
</cp:coreProperties>
</file>